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80" w:lineRule="exact"/>
        <w:ind w:firstLine="0" w:firstLineChars="0"/>
        <w:jc w:val="center"/>
        <w:textAlignment w:val="auto"/>
        <w:rPr>
          <w:rFonts w:ascii="黑体" w:hAnsi="黑体" w:eastAsia="黑体" w:cs="黑体"/>
          <w:color w:val="2B2B2B"/>
          <w:sz w:val="44"/>
          <w:szCs w:val="44"/>
        </w:rPr>
      </w:pPr>
      <w:r>
        <w:rPr>
          <w:rFonts w:hint="eastAsia" w:ascii="黑体" w:hAnsi="黑体" w:eastAsia="黑体" w:cs="黑体"/>
          <w:color w:val="2B2B2B"/>
          <w:sz w:val="44"/>
          <w:szCs w:val="44"/>
        </w:rPr>
        <w:t>米脂县银州街道办事处</w:t>
      </w:r>
    </w:p>
    <w:p>
      <w:pPr>
        <w:adjustRightInd/>
        <w:spacing w:line="680" w:lineRule="exact"/>
        <w:ind w:firstLine="0" w:firstLineChars="0"/>
        <w:jc w:val="center"/>
        <w:textAlignment w:val="auto"/>
        <w:rPr>
          <w:rFonts w:ascii="黑体" w:hAnsi="黑体" w:eastAsia="黑体" w:cs="黑体"/>
          <w:color w:val="2B2B2B"/>
          <w:sz w:val="44"/>
          <w:szCs w:val="44"/>
        </w:rPr>
      </w:pPr>
      <w:r>
        <w:rPr>
          <w:rFonts w:hint="eastAsia" w:ascii="黑体" w:hAnsi="黑体" w:eastAsia="黑体" w:cs="黑体"/>
          <w:color w:val="2B2B2B"/>
          <w:sz w:val="44"/>
          <w:szCs w:val="44"/>
        </w:rPr>
        <w:t>2018年部门综合预算说明</w:t>
      </w:r>
    </w:p>
    <w:p>
      <w:pPr>
        <w:spacing w:line="680" w:lineRule="exact"/>
        <w:ind w:firstLine="640"/>
        <w:textAlignment w:val="auto"/>
        <w:rPr>
          <w:rFonts w:ascii="宋体" w:hAnsi="宋体" w:eastAsia="宋体" w:cs="宋体"/>
          <w:szCs w:val="32"/>
        </w:rPr>
      </w:pPr>
    </w:p>
    <w:p>
      <w:pPr>
        <w:pStyle w:val="7"/>
        <w:adjustRightInd/>
        <w:spacing w:line="680" w:lineRule="exact"/>
        <w:ind w:right="113" w:firstLine="640"/>
        <w:jc w:val="left"/>
        <w:textAlignment w:val="auto"/>
        <w:rPr>
          <w:rFonts w:ascii="黑体" w:hAnsi="黑体" w:eastAsia="黑体" w:cs="黑体"/>
          <w:color w:val="2B2B2B"/>
          <w:sz w:val="32"/>
          <w:szCs w:val="32"/>
        </w:rPr>
      </w:pPr>
      <w:r>
        <w:rPr>
          <w:rFonts w:hint="eastAsia" w:ascii="黑体" w:hAnsi="黑体" w:eastAsia="黑体" w:cs="黑体"/>
          <w:color w:val="2B2B2B"/>
          <w:sz w:val="32"/>
          <w:szCs w:val="32"/>
        </w:rPr>
        <w:t>一、部门主要职责</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1、执行上级国家行政机关的决定、命令和国家制定的法令、法规，接受同级党委的领导，执行本级人民代表大会的各项决议，并报告执行决议、决定和命令的情况。</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2、制定并落实本行政区域的经济计划和措施，促进产业结构调整及其他经济保持平衡协调发展，全面提高人民群众的生活水平和生活质量。</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4、开展社会主义民主和法制的宣传教育，保障公民的权利；制定社会治安综合治理工作规划并组织实施；处理人民来信来访，调解民间纠纷；打击违法犯罪，维护社会稳定。</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5、制定社会各项事业发展计划，发展教育、卫生、科技、民政、广播电视、文化事业；组织实施义务教育和其他各类教育；加强计划生育工作；推进社会保障、社会福利事业和养老保险工作；做好劳动管理、科普、老龄等工作。</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6、加强镇级财政的监督和管理，按计划组织、管理镇财政收入和支出，执行国家有关财经纪律和政策，保证国家财政收入的完成；做好统计工作。</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7、指导、支持、帮助村民委员会的组织制度建设和业务建设，促进村民委员会民主自治。</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8、制定和组织实施镇村建设规划；加强公用设施、水利建设和管理以及房屋土地管理和环境综合整治工作，保护和改善生活环境和生态环境。</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9、协助和支持设置在本行政区域内不隶属于镇的国家机关和企事业单位的工作，监督其遵守和执行国家的法律、法规和政策。</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10、承办县人民政府交办的其它事项。</w:t>
      </w:r>
    </w:p>
    <w:p>
      <w:pPr>
        <w:pStyle w:val="7"/>
        <w:adjustRightInd/>
        <w:spacing w:line="680" w:lineRule="exact"/>
        <w:ind w:right="113" w:firstLine="640"/>
        <w:jc w:val="left"/>
        <w:textAlignment w:val="auto"/>
        <w:rPr>
          <w:rFonts w:ascii="黑体" w:hAnsi="黑体" w:eastAsia="黑体" w:cs="黑体"/>
          <w:color w:val="2B2B2B"/>
          <w:sz w:val="32"/>
          <w:szCs w:val="32"/>
        </w:rPr>
      </w:pPr>
      <w:r>
        <w:rPr>
          <w:rFonts w:hint="eastAsia" w:ascii="黑体" w:hAnsi="黑体" w:eastAsia="黑体" w:cs="黑体"/>
          <w:color w:val="2B2B2B"/>
          <w:sz w:val="32"/>
          <w:szCs w:val="32"/>
        </w:rPr>
        <w:t>二、</w:t>
      </w:r>
      <w:r>
        <w:rPr>
          <w:rFonts w:ascii="黑体" w:hAnsi="黑体" w:eastAsia="黑体" w:cs="黑体"/>
          <w:color w:val="2B2B2B"/>
          <w:sz w:val="32"/>
          <w:szCs w:val="32"/>
        </w:rPr>
        <w:t>2018</w:t>
      </w:r>
      <w:r>
        <w:rPr>
          <w:rFonts w:hint="eastAsia" w:ascii="黑体" w:hAnsi="黑体" w:eastAsia="黑体" w:cs="黑体"/>
          <w:color w:val="2B2B2B"/>
          <w:sz w:val="32"/>
          <w:szCs w:val="32"/>
        </w:rPr>
        <w:t>年年度部门工作任务</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2018年，街道办将全面贯彻落实党的十九大精神，以强烈的使命感和高度的责任感，统一思想，坚定信心，锐意进取，迎难而上，重点抓好以下工作：</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1、牢固树立“抓好党建是最大政绩”理念，深入学习领会党的十九大精神，持续推进“两学一做”常态化教育，扎实开展各项专题教育及活动。</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2、全面完成村级换届选举工作，为村级可持续发展提供强有力的组织保证，充分发挥基层党组织战斗堡垒作用。</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3、加强重点镇建设，配合县委、政府完成“两馆一场”及银北路拓宽征地建设、完成班家沟村易地移民搬迁入住、南关翔凤景苑小区建设等工程</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4、全力抓好基础设施建设，按照“六到村、六到户”的标准，补齐短板，确保不漏一户。</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5、完成好脱贫攻坚目标任务，结合街道办实际，大力推广“支部+合作社+贫困户”脱贫模式，加快“三变”改革，确保2018年街道办脱贫摘帽。</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6、加强山地苹果产业示范园建设，幅射带动街道办山地苹果产业大上、快上，力争于2018年底街道办苹果栽植面积突破10000亩。</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7、加强美丽乡村建设和旅游文化建设，结合高西沟“一面红旗”、蒋氏庄园、王沙沟万佛洞等，全力打造全域旅游景点。</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8、加强社会稳定工作，重点做好节点信访稳控工作。</w:t>
      </w:r>
    </w:p>
    <w:p>
      <w:pPr>
        <w:pStyle w:val="7"/>
        <w:spacing w:line="680" w:lineRule="exact"/>
        <w:ind w:right="113" w:firstLine="600"/>
        <w:jc w:val="left"/>
        <w:rPr>
          <w:rFonts w:ascii="仿宋_GB2312" w:hAnsi="仿宋_GB2312" w:cs="仿宋_GB2312"/>
          <w:color w:val="2B2B2B"/>
          <w:szCs w:val="32"/>
        </w:rPr>
      </w:pPr>
      <w:r>
        <w:rPr>
          <w:rFonts w:hint="eastAsia" w:ascii="仿宋_GB2312" w:hAnsi="仿宋_GB2312" w:cs="仿宋_GB2312"/>
          <w:color w:val="2B2B2B"/>
          <w:szCs w:val="32"/>
        </w:rPr>
        <w:t>9、全面完成好县委政府年初下达的各项任务。</w:t>
      </w:r>
    </w:p>
    <w:p>
      <w:pPr>
        <w:pStyle w:val="7"/>
        <w:adjustRightInd/>
        <w:spacing w:line="680" w:lineRule="exact"/>
        <w:ind w:right="113" w:firstLine="640"/>
        <w:jc w:val="left"/>
        <w:textAlignment w:val="auto"/>
        <w:rPr>
          <w:rFonts w:ascii="黑体" w:hAnsi="黑体" w:eastAsia="黑体" w:cs="黑体"/>
          <w:color w:val="2B2B2B"/>
          <w:sz w:val="32"/>
          <w:szCs w:val="32"/>
        </w:rPr>
      </w:pPr>
      <w:r>
        <w:rPr>
          <w:rFonts w:hint="eastAsia" w:ascii="黑体" w:hAnsi="黑体" w:eastAsia="黑体" w:cs="黑体"/>
          <w:color w:val="2B2B2B"/>
          <w:sz w:val="32"/>
          <w:szCs w:val="32"/>
        </w:rPr>
        <w:t>三、部门预算单位构成</w:t>
      </w:r>
    </w:p>
    <w:p>
      <w:pPr>
        <w:pStyle w:val="7"/>
        <w:adjustRightInd/>
        <w:spacing w:line="680"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rPr>
        <w:t>2018年部门预算</w:t>
      </w:r>
      <w:r>
        <w:rPr>
          <w:rFonts w:hint="eastAsia" w:ascii="仿宋_GB2312" w:hAnsi="仿宋_GB2312" w:eastAsia="仿宋_GB2312" w:cs="仿宋_GB2312"/>
          <w:color w:val="2B2B2B"/>
          <w:sz w:val="32"/>
          <w:szCs w:val="32"/>
          <w:lang w:val="en-US" w:eastAsia="zh-CN"/>
        </w:rPr>
        <w:t>包括部门本级预算</w:t>
      </w:r>
      <w:r>
        <w:rPr>
          <w:rFonts w:hint="eastAsia" w:ascii="仿宋_GB2312" w:hAnsi="仿宋_GB2312" w:eastAsia="仿宋_GB2312" w:cs="仿宋_GB2312"/>
          <w:color w:val="2B2B2B"/>
          <w:sz w:val="32"/>
          <w:szCs w:val="32"/>
          <w:lang w:eastAsia="zh-CN"/>
        </w:rPr>
        <w:t>。</w:t>
      </w:r>
    </w:p>
    <w:p>
      <w:pPr>
        <w:pStyle w:val="7"/>
        <w:adjustRightInd/>
        <w:spacing w:line="680" w:lineRule="exact"/>
        <w:ind w:left="0" w:right="113" w:firstLine="640"/>
        <w:jc w:val="left"/>
        <w:textAlignment w:val="auto"/>
        <w:rPr>
          <w:rFonts w:ascii="黑体" w:hAnsi="黑体" w:eastAsia="黑体" w:cs="黑体"/>
          <w:color w:val="2B2B2B"/>
          <w:sz w:val="32"/>
          <w:szCs w:val="32"/>
        </w:rPr>
      </w:pPr>
      <w:bookmarkStart w:id="0" w:name="Ò³Ãæ__7"/>
      <w:bookmarkEnd w:id="0"/>
      <w:r>
        <w:rPr>
          <w:rFonts w:hint="eastAsia" w:ascii="黑体" w:hAnsi="黑体" w:eastAsia="黑体" w:cs="黑体"/>
          <w:color w:val="2B2B2B"/>
          <w:sz w:val="32"/>
          <w:szCs w:val="32"/>
        </w:rPr>
        <w:t>四、部门人员情况说明</w:t>
      </w:r>
    </w:p>
    <w:p>
      <w:pPr>
        <w:pStyle w:val="7"/>
        <w:adjustRightInd/>
        <w:spacing w:line="680" w:lineRule="exact"/>
        <w:ind w:left="0" w:firstLine="640"/>
        <w:jc w:val="left"/>
        <w:textAlignment w:val="auto"/>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截止2017年底，本单位人员编制132人，其中行政编制50人、事业编制82人；实有人员243人，其中行政59人、事业109人。单位管理的离退休人员73人。</w:t>
      </w:r>
    </w:p>
    <w:p>
      <w:pPr>
        <w:pStyle w:val="7"/>
        <w:adjustRightInd/>
        <w:spacing w:line="680" w:lineRule="exact"/>
        <w:ind w:right="113" w:firstLine="640"/>
        <w:jc w:val="left"/>
        <w:textAlignment w:val="auto"/>
        <w:rPr>
          <w:rFonts w:ascii="黑体" w:hAnsi="黑体" w:eastAsia="黑体" w:cs="黑体"/>
          <w:color w:val="2B2B2B"/>
          <w:sz w:val="32"/>
          <w:szCs w:val="32"/>
        </w:rPr>
      </w:pPr>
      <w:r>
        <w:rPr>
          <w:rFonts w:hint="eastAsia" w:ascii="黑体" w:hAnsi="黑体" w:eastAsia="黑体" w:cs="黑体"/>
          <w:color w:val="2B2B2B"/>
          <w:sz w:val="32"/>
          <w:szCs w:val="32"/>
        </w:rPr>
        <w:t>五、部门国有资产占有使用及资产购置情况说明</w:t>
      </w:r>
    </w:p>
    <w:p>
      <w:pPr>
        <w:adjustRightInd/>
        <w:spacing w:line="680" w:lineRule="exact"/>
        <w:ind w:left="113" w:right="258" w:firstLine="640"/>
        <w:textAlignment w:val="auto"/>
        <w:rPr>
          <w:rFonts w:ascii="楷体" w:hAnsi="楷体" w:eastAsia="楷体" w:cs="楷体"/>
          <w:color w:val="2B2B2B"/>
          <w:szCs w:val="32"/>
        </w:rPr>
      </w:pPr>
      <w:r>
        <w:rPr>
          <w:rFonts w:hint="eastAsia" w:ascii="仿宋_GB2312" w:hAnsi="仿宋_GB2312" w:cs="仿宋_GB2312"/>
          <w:color w:val="2B2B2B"/>
          <w:szCs w:val="32"/>
        </w:rPr>
        <w:t>截至2017年12月31日，本单位所属预算单位共有车辆2辆，单价20万元以上的设备</w:t>
      </w:r>
      <w:r>
        <w:rPr>
          <w:rFonts w:hint="eastAsia" w:ascii="仿宋_GB2312" w:hAnsi="仿宋_GB2312" w:cs="仿宋_GB2312"/>
          <w:color w:val="2B2B2B"/>
          <w:szCs w:val="32"/>
          <w:lang w:val="en-US" w:eastAsia="zh-CN"/>
        </w:rPr>
        <w:t>无</w:t>
      </w:r>
      <w:r>
        <w:rPr>
          <w:rFonts w:hint="eastAsia" w:ascii="仿宋_GB2312" w:hAnsi="仿宋_GB2312" w:cs="仿宋_GB2312"/>
          <w:color w:val="2B2B2B"/>
          <w:szCs w:val="32"/>
        </w:rPr>
        <w:t>。</w:t>
      </w:r>
    </w:p>
    <w:p>
      <w:pPr>
        <w:pStyle w:val="7"/>
        <w:adjustRightInd/>
        <w:spacing w:line="680" w:lineRule="exact"/>
        <w:ind w:right="113" w:firstLine="640"/>
        <w:jc w:val="left"/>
        <w:textAlignment w:val="auto"/>
        <w:rPr>
          <w:rFonts w:ascii="黑体" w:hAnsi="黑体" w:eastAsia="黑体" w:cs="黑体"/>
          <w:color w:val="2B2B2B"/>
          <w:sz w:val="32"/>
          <w:szCs w:val="32"/>
        </w:rPr>
      </w:pPr>
      <w:r>
        <w:rPr>
          <w:rFonts w:hint="eastAsia" w:ascii="黑体" w:hAnsi="黑体" w:eastAsia="黑体" w:cs="黑体"/>
          <w:color w:val="2B2B2B"/>
          <w:sz w:val="32"/>
          <w:szCs w:val="32"/>
        </w:rPr>
        <w:t>六、部门预算绩效目标说明</w:t>
      </w:r>
    </w:p>
    <w:p>
      <w:pPr>
        <w:pStyle w:val="7"/>
        <w:adjustRightInd/>
        <w:spacing w:line="680" w:lineRule="exact"/>
        <w:ind w:right="271" w:firstLine="640"/>
        <w:jc w:val="left"/>
        <w:textAlignment w:val="auto"/>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2018年本部门实现了绩效目标管理全覆盖，涉及一般公共预算当年拨款</w:t>
      </w:r>
      <w:r>
        <w:rPr>
          <w:rFonts w:ascii="仿宋_GB2312" w:hAnsi="仿宋_GB2312" w:eastAsia="仿宋_GB2312" w:cs="仿宋_GB2312"/>
          <w:color w:val="2B2B2B"/>
          <w:sz w:val="32"/>
          <w:szCs w:val="32"/>
        </w:rPr>
        <w:t>22,532,300</w:t>
      </w:r>
      <w:r>
        <w:rPr>
          <w:rFonts w:hint="eastAsia" w:ascii="仿宋_GB2312" w:hAnsi="仿宋_GB2312" w:eastAsia="仿宋_GB2312" w:cs="仿宋_GB2312"/>
          <w:color w:val="2B2B2B"/>
          <w:sz w:val="32"/>
          <w:szCs w:val="32"/>
        </w:rPr>
        <w:t>元，政府性基金预算当年拨款</w:t>
      </w:r>
      <w:r>
        <w:rPr>
          <w:rFonts w:hint="eastAsia" w:ascii="仿宋_GB2312" w:hAnsi="仿宋_GB2312" w:eastAsia="仿宋_GB2312" w:cs="仿宋_GB2312"/>
          <w:color w:val="2B2B2B"/>
          <w:sz w:val="32"/>
          <w:szCs w:val="32"/>
          <w:lang w:val="en-US" w:eastAsia="zh-CN"/>
        </w:rPr>
        <w:t>无</w:t>
      </w:r>
      <w:r>
        <w:rPr>
          <w:rFonts w:hint="eastAsia" w:ascii="仿宋_GB2312" w:hAnsi="仿宋_GB2312" w:eastAsia="仿宋_GB2312" w:cs="仿宋_GB2312"/>
          <w:color w:val="2B2B2B"/>
          <w:sz w:val="32"/>
          <w:szCs w:val="32"/>
        </w:rPr>
        <w:t>。</w:t>
      </w:r>
    </w:p>
    <w:p>
      <w:pPr>
        <w:spacing w:line="560" w:lineRule="atLeast"/>
        <w:ind w:left="127" w:right="271" w:firstLine="640"/>
        <w:rPr>
          <w:rFonts w:ascii="Calibri" w:hAnsi="Calibri"/>
          <w:color w:val="2A2A2A"/>
          <w:sz w:val="19"/>
          <w:szCs w:val="19"/>
        </w:rPr>
      </w:pPr>
      <w:r>
        <w:rPr>
          <w:rFonts w:hint="eastAsia" w:ascii="黑体" w:hAnsi="黑体" w:eastAsia="黑体"/>
          <w:color w:val="2A2A2A"/>
          <w:szCs w:val="32"/>
        </w:rPr>
        <w:t>七、2018年部门预算收支说明</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（一）收支预算总体情况。</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2018年,本部门收入预算为2253.23万元，较上年增加60.79%，全部为一般公共预算拨款预算，原因主要是</w:t>
      </w:r>
      <w:r>
        <w:rPr>
          <w:rFonts w:hint="eastAsia" w:ascii="仿宋_GB2312" w:hAnsi="Calibri"/>
          <w:color w:val="2A2A2A"/>
          <w:szCs w:val="32"/>
          <w:lang w:val="en-US" w:eastAsia="zh-CN"/>
        </w:rPr>
        <w:t>撤乡并镇后</w:t>
      </w:r>
      <w:r>
        <w:rPr>
          <w:rFonts w:hint="eastAsia" w:ascii="仿宋_GB2312" w:hAnsi="Calibri"/>
          <w:color w:val="2A2A2A"/>
          <w:szCs w:val="32"/>
        </w:rPr>
        <w:t>经费增加。</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2018年,本部门支出预算为2253.23万元，包括人员经费和公用经费支出共1953.72万元，占支出总额87%；项目经费支出299.51万元，占支出总额13%。</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（二）财政拨款收支情况。</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2018年,本部门财政拨款收入预算为2253.23万元，较上年增加60.79%，全部为一般公共预算拨款预算，原因主要是</w:t>
      </w:r>
      <w:r>
        <w:rPr>
          <w:rFonts w:hint="eastAsia" w:ascii="仿宋_GB2312" w:hAnsi="Calibri"/>
          <w:color w:val="2A2A2A"/>
          <w:szCs w:val="32"/>
          <w:lang w:val="en-US" w:eastAsia="zh-CN"/>
        </w:rPr>
        <w:t>撤乡并镇后</w:t>
      </w:r>
      <w:r>
        <w:rPr>
          <w:rFonts w:hint="eastAsia" w:ascii="仿宋_GB2312" w:hAnsi="Calibri"/>
          <w:color w:val="2A2A2A"/>
          <w:szCs w:val="32"/>
        </w:rPr>
        <w:t>经费增加。</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2018年,本部门财政拨款支出预算为2253.23万元，包括人员经费和公用经费支出共1953.72万元，占支出总额87%；项目经费支出299.51万元，占支出总额13%。</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（三）一般公共预算拨款支出明细情况。</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1、一般公共预算当年拨款规模变化情况。</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2018年,本部门一般公共预算拨款收入预算为2253.23万元，较上年增加60.79%，原因主要是</w:t>
      </w:r>
      <w:r>
        <w:rPr>
          <w:rFonts w:hint="eastAsia" w:ascii="仿宋_GB2312" w:hAnsi="Calibri"/>
          <w:color w:val="2A2A2A"/>
          <w:szCs w:val="32"/>
          <w:lang w:val="en-US" w:eastAsia="zh-CN"/>
        </w:rPr>
        <w:t>撤乡并镇后</w:t>
      </w:r>
      <w:r>
        <w:rPr>
          <w:rFonts w:hint="eastAsia" w:ascii="仿宋_GB2312" w:hAnsi="Calibri"/>
          <w:color w:val="2A2A2A"/>
          <w:szCs w:val="32"/>
        </w:rPr>
        <w:t>经费增加。</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2、支出按功能科目分类的明细情况。</w:t>
      </w:r>
    </w:p>
    <w:p>
      <w:pPr>
        <w:spacing w:line="560" w:lineRule="atLeast"/>
        <w:ind w:left="127" w:right="271" w:firstLine="640"/>
        <w:rPr>
          <w:rFonts w:ascii="Calibri" w:hAnsi="Calibri"/>
          <w:color w:val="2A2A2A"/>
          <w:sz w:val="19"/>
          <w:szCs w:val="19"/>
        </w:rPr>
      </w:pPr>
      <w:r>
        <w:rPr>
          <w:rFonts w:hint="eastAsia" w:ascii="仿宋_GB2312" w:hAnsi="Calibri"/>
          <w:color w:val="2A2A2A"/>
          <w:szCs w:val="32"/>
        </w:rPr>
        <w:t>2018年,本部门一般公共预算拨款支出预算为2253.23万元，包括人员经费和公用经费支出共1953.72万元，占支出总额87%；项目经费支出299.51万元，占支出总额13%。</w:t>
      </w:r>
    </w:p>
    <w:tbl>
      <w:tblPr>
        <w:tblStyle w:val="15"/>
        <w:tblW w:w="8965" w:type="dxa"/>
        <w:tblInd w:w="95" w:type="dxa"/>
        <w:tblLayout w:type="fixed"/>
        <w:tblCellMar>
          <w:top w:w="0" w:type="dxa"/>
          <w:left w:w="0" w:type="dxa"/>
          <w:bottom w:w="0" w:type="dxa"/>
          <w:right w:w="0" w:type="dxa"/>
        </w:tblCellMar>
      </w:tblPr>
      <w:tblGrid>
        <w:gridCol w:w="986"/>
        <w:gridCol w:w="3260"/>
        <w:gridCol w:w="879"/>
        <w:gridCol w:w="197"/>
        <w:gridCol w:w="905"/>
        <w:gridCol w:w="109"/>
        <w:gridCol w:w="535"/>
        <w:gridCol w:w="240"/>
        <w:gridCol w:w="774"/>
        <w:gridCol w:w="229"/>
        <w:gridCol w:w="851"/>
      </w:tblGrid>
      <w:tr>
        <w:tblPrEx>
          <w:tblLayout w:type="fixed"/>
          <w:tblCellMar>
            <w:top w:w="0" w:type="dxa"/>
            <w:left w:w="0" w:type="dxa"/>
            <w:bottom w:w="0" w:type="dxa"/>
            <w:right w:w="0" w:type="dxa"/>
          </w:tblCellMar>
        </w:tblPrEx>
        <w:trPr>
          <w:trHeight w:val="570" w:hRule="atLeast"/>
        </w:trPr>
        <w:tc>
          <w:tcPr>
            <w:tcW w:w="8965" w:type="dxa"/>
            <w:gridSpan w:val="11"/>
            <w:tcMar>
              <w:top w:w="0" w:type="dxa"/>
              <w:left w:w="108" w:type="dxa"/>
              <w:bottom w:w="0" w:type="dxa"/>
              <w:right w:w="108" w:type="dxa"/>
            </w:tcMar>
            <w:vAlign w:val="center"/>
          </w:tcPr>
          <w:p>
            <w:pPr>
              <w:spacing w:line="560" w:lineRule="atLeast"/>
              <w:ind w:firstLine="640"/>
              <w:rPr>
                <w:rFonts w:ascii="Calibri" w:hAnsi="Calibri" w:eastAsia="宋体" w:cs="宋体"/>
                <w:color w:val="2A2A2A"/>
                <w:sz w:val="21"/>
                <w:szCs w:val="21"/>
              </w:rPr>
            </w:pPr>
            <w:r>
              <w:rPr>
                <w:rFonts w:hint="eastAsia"/>
                <w:b/>
                <w:bCs/>
                <w:color w:val="2A2A2A"/>
                <w:szCs w:val="32"/>
              </w:rPr>
              <w:t>2018年部门综合预算一般公共预算支出明细表（按功能科目分）</w:t>
            </w:r>
          </w:p>
        </w:tc>
      </w:tr>
      <w:tr>
        <w:tblPrEx>
          <w:tblLayout w:type="fixed"/>
          <w:tblCellMar>
            <w:top w:w="0" w:type="dxa"/>
            <w:left w:w="0" w:type="dxa"/>
            <w:bottom w:w="0" w:type="dxa"/>
            <w:right w:w="0" w:type="dxa"/>
          </w:tblCellMar>
        </w:tblPrEx>
        <w:trPr>
          <w:trHeight w:val="450" w:hRule="atLeast"/>
        </w:trPr>
        <w:tc>
          <w:tcPr>
            <w:tcW w:w="986"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326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76" w:type="dxa"/>
            <w:gridSpan w:val="2"/>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14" w:type="dxa"/>
            <w:gridSpan w:val="2"/>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535"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14" w:type="dxa"/>
            <w:gridSpan w:val="2"/>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80" w:type="dxa"/>
            <w:gridSpan w:val="2"/>
            <w:tcMar>
              <w:top w:w="0" w:type="dxa"/>
              <w:left w:w="108" w:type="dxa"/>
              <w:bottom w:w="0" w:type="dxa"/>
              <w:right w:w="108" w:type="dxa"/>
            </w:tcMar>
            <w:vAlign w:val="bottom"/>
          </w:tcPr>
          <w:p>
            <w:pPr>
              <w:spacing w:line="560" w:lineRule="atLeast"/>
              <w:ind w:left="0" w:leftChars="0" w:firstLine="0" w:firstLineChars="0"/>
              <w:rPr>
                <w:rFonts w:ascii="Calibri" w:hAnsi="Calibri" w:eastAsia="宋体" w:cs="宋体"/>
                <w:color w:val="2A2A2A"/>
                <w:sz w:val="21"/>
                <w:szCs w:val="21"/>
              </w:rPr>
            </w:pPr>
            <w:r>
              <w:rPr>
                <w:rFonts w:hint="eastAsia"/>
                <w:color w:val="2A2A2A"/>
                <w:sz w:val="18"/>
                <w:szCs w:val="18"/>
              </w:rPr>
              <w:t>单位：万元</w:t>
            </w:r>
          </w:p>
        </w:tc>
      </w:tr>
      <w:tr>
        <w:tblPrEx>
          <w:tblLayout w:type="fixed"/>
          <w:tblCellMar>
            <w:top w:w="0" w:type="dxa"/>
            <w:left w:w="0" w:type="dxa"/>
            <w:bottom w:w="0" w:type="dxa"/>
            <w:right w:w="0" w:type="dxa"/>
          </w:tblCellMar>
        </w:tblPrEx>
        <w:trPr>
          <w:trHeight w:val="2230" w:hRule="atLeast"/>
        </w:trPr>
        <w:tc>
          <w:tcPr>
            <w:tcW w:w="9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18"/>
                <w:szCs w:val="18"/>
              </w:rPr>
              <w:t>科目编码</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功能科目名称</w:t>
            </w:r>
          </w:p>
        </w:tc>
        <w:tc>
          <w:tcPr>
            <w:tcW w:w="107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18"/>
                <w:szCs w:val="18"/>
              </w:rPr>
              <w:t>合计</w:t>
            </w:r>
          </w:p>
        </w:tc>
        <w:tc>
          <w:tcPr>
            <w:tcW w:w="101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18"/>
                <w:szCs w:val="18"/>
              </w:rPr>
              <w:t>人员经费支出</w:t>
            </w:r>
          </w:p>
        </w:tc>
        <w:tc>
          <w:tcPr>
            <w:tcW w:w="77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公用经费支出</w:t>
            </w:r>
          </w:p>
        </w:tc>
        <w:tc>
          <w:tcPr>
            <w:tcW w:w="100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项目经费支出</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18"/>
                <w:szCs w:val="18"/>
              </w:rPr>
              <w:t>备注</w:t>
            </w: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3260"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w:t>
            </w:r>
          </w:p>
        </w:tc>
        <w:tc>
          <w:tcPr>
            <w:tcW w:w="1076"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1</w:t>
            </w:r>
          </w:p>
        </w:tc>
        <w:tc>
          <w:tcPr>
            <w:tcW w:w="1014"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2</w:t>
            </w:r>
          </w:p>
        </w:tc>
        <w:tc>
          <w:tcPr>
            <w:tcW w:w="775"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3</w:t>
            </w:r>
          </w:p>
        </w:tc>
        <w:tc>
          <w:tcPr>
            <w:tcW w:w="1003"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4</w:t>
            </w:r>
          </w:p>
        </w:tc>
        <w:tc>
          <w:tcPr>
            <w:tcW w:w="851"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w:t>
            </w:r>
          </w:p>
        </w:tc>
      </w:tr>
      <w:tr>
        <w:tblPrEx>
          <w:tblLayout w:type="fixed"/>
          <w:tblCellMar>
            <w:top w:w="0" w:type="dxa"/>
            <w:left w:w="0" w:type="dxa"/>
            <w:bottom w:w="0" w:type="dxa"/>
            <w:right w:w="0" w:type="dxa"/>
          </w:tblCellMar>
        </w:tblPrEx>
        <w:trPr>
          <w:trHeight w:val="462" w:hRule="atLeast"/>
        </w:trPr>
        <w:tc>
          <w:tcPr>
            <w:tcW w:w="9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2253.23 </w:t>
            </w:r>
          </w:p>
        </w:tc>
        <w:tc>
          <w:tcPr>
            <w:tcW w:w="101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1867.39 </w:t>
            </w:r>
          </w:p>
        </w:tc>
        <w:tc>
          <w:tcPr>
            <w:tcW w:w="7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8</w:t>
            </w:r>
            <w:r>
              <w:rPr>
                <w:rFonts w:hint="eastAsia"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18"/>
                <w:szCs w:val="18"/>
                <w:u w:val="none"/>
                <w:lang w:val="en-US" w:eastAsia="zh-CN" w:bidi="ar"/>
              </w:rPr>
              <w:t>.33</w:t>
            </w:r>
          </w:p>
        </w:tc>
        <w:tc>
          <w:tcPr>
            <w:tcW w:w="10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299.51 </w:t>
            </w: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30" w:hRule="atLeast"/>
        </w:trPr>
        <w:tc>
          <w:tcPr>
            <w:tcW w:w="986"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w:t>
            </w:r>
          </w:p>
        </w:tc>
        <w:tc>
          <w:tcPr>
            <w:tcW w:w="3260"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firstLine="40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务支出</w:t>
            </w:r>
          </w:p>
        </w:tc>
        <w:tc>
          <w:tcPr>
            <w:tcW w:w="1076" w:type="dxa"/>
            <w:gridSpan w:val="2"/>
            <w:tcBorders>
              <w:top w:val="single" w:color="auto" w:sz="4" w:space="0"/>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734.91 </w:t>
            </w:r>
          </w:p>
        </w:tc>
        <w:tc>
          <w:tcPr>
            <w:tcW w:w="1014" w:type="dxa"/>
            <w:gridSpan w:val="2"/>
            <w:tcBorders>
              <w:top w:val="single" w:color="auto" w:sz="4" w:space="0"/>
              <w:left w:val="single" w:color="auto" w:sz="8" w:space="0"/>
              <w:bottom w:val="nil"/>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601.22</w:t>
            </w:r>
          </w:p>
        </w:tc>
        <w:tc>
          <w:tcPr>
            <w:tcW w:w="775" w:type="dxa"/>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86.33</w:t>
            </w:r>
          </w:p>
        </w:tc>
        <w:tc>
          <w:tcPr>
            <w:tcW w:w="1003"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47.36 </w:t>
            </w:r>
          </w:p>
        </w:tc>
        <w:tc>
          <w:tcPr>
            <w:tcW w:w="851" w:type="dxa"/>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22"/>
                <w:szCs w:val="22"/>
              </w:rPr>
              <w:t>比上年增加</w:t>
            </w:r>
            <w:r>
              <w:rPr>
                <w:rFonts w:hint="eastAsia"/>
                <w:color w:val="2A2A2A"/>
                <w:sz w:val="22"/>
                <w:szCs w:val="22"/>
                <w:lang w:val="en-US" w:eastAsia="zh-CN"/>
              </w:rPr>
              <w:t>18</w:t>
            </w:r>
            <w:r>
              <w:rPr>
                <w:rFonts w:hint="eastAsia"/>
                <w:color w:val="2A2A2A"/>
                <w:sz w:val="22"/>
                <w:szCs w:val="22"/>
              </w:rPr>
              <w:t>%，原因是人员经费和项目经费增加</w:t>
            </w: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人大事务</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101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2010199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其他人大事务支出</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20103</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572.89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481.56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86.33</w:t>
            </w: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2010301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行政运行</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567.89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481.56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86.33</w:t>
            </w: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2010302</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一般行政管理事务</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20106</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财政事务</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119.66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119.66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2010601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一般公共服  行政运行</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119.66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119.66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20111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纪检监察事务</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2011199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其他纪检监察事务支出</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5.00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20132</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组织事务</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32.36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32.36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2013299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32.36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32.36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207</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文化体育与传媒支出</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51.02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51.02</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22"/>
                <w:szCs w:val="22"/>
              </w:rPr>
              <w:t>比去年减少</w:t>
            </w:r>
            <w:r>
              <w:rPr>
                <w:rFonts w:hint="eastAsia"/>
                <w:color w:val="2A2A2A"/>
                <w:sz w:val="22"/>
                <w:szCs w:val="22"/>
                <w:lang w:val="en-US" w:eastAsia="zh-CN"/>
              </w:rPr>
              <w:t>8</w:t>
            </w:r>
            <w:r>
              <w:rPr>
                <w:rFonts w:hint="eastAsia"/>
                <w:color w:val="2A2A2A"/>
                <w:sz w:val="22"/>
                <w:szCs w:val="22"/>
              </w:rPr>
              <w:t>%，人员经费减少</w:t>
            </w: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20701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文化</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51.02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51.02</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5"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2070109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群众文化</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51.02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51.02</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208</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社会保障和就业支出</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643.12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643.12</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22"/>
                <w:szCs w:val="22"/>
              </w:rPr>
              <w:t>比去年增</w:t>
            </w:r>
            <w:r>
              <w:rPr>
                <w:rFonts w:hint="eastAsia"/>
                <w:color w:val="2A2A2A"/>
                <w:sz w:val="22"/>
                <w:szCs w:val="22"/>
                <w:lang w:val="en-US" w:eastAsia="zh-CN"/>
              </w:rPr>
              <w:t>加98</w:t>
            </w:r>
            <w:r>
              <w:rPr>
                <w:rFonts w:hint="eastAsia"/>
                <w:color w:val="2A2A2A"/>
                <w:sz w:val="22"/>
                <w:szCs w:val="22"/>
              </w:rPr>
              <w:t>%，原因是人员增多</w:t>
            </w: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20805</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行政事业单位离退休</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399.66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399.66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3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2080501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归口管理的行政单位离退休</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399.66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399.66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439"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20899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其他社会保障和就业支出</w:t>
            </w:r>
          </w:p>
        </w:tc>
        <w:tc>
          <w:tcPr>
            <w:tcW w:w="1076" w:type="dxa"/>
            <w:gridSpan w:val="2"/>
            <w:tcBorders>
              <w:top w:val="nil"/>
              <w:left w:val="nil"/>
              <w:bottom w:val="single" w:color="000000" w:sz="8" w:space="0"/>
              <w:right w:val="nil"/>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243.46 </w:t>
            </w:r>
          </w:p>
        </w:tc>
        <w:tc>
          <w:tcPr>
            <w:tcW w:w="101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243.46</w:t>
            </w:r>
          </w:p>
        </w:tc>
        <w:tc>
          <w:tcPr>
            <w:tcW w:w="7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100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51" w:type="dxa"/>
            <w:vMerge w:val="continue"/>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40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2089901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其他社会保障和就业支出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243.46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243.46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80" w:type="dxa"/>
            <w:gridSpan w:val="2"/>
            <w:tcBorders>
              <w:top w:val="nil"/>
              <w:left w:val="nil"/>
              <w:bottom w:val="single" w:color="auto"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40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210</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医疗卫生与计划生育支出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228.26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228.26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80"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22"/>
                <w:szCs w:val="22"/>
              </w:rPr>
              <w:t>比去年</w:t>
            </w:r>
            <w:r>
              <w:rPr>
                <w:rFonts w:hint="eastAsia"/>
                <w:color w:val="2A2A2A"/>
                <w:sz w:val="22"/>
                <w:szCs w:val="22"/>
                <w:lang w:val="en-US" w:eastAsia="zh-CN"/>
              </w:rPr>
              <w:t>增加128</w:t>
            </w:r>
            <w:r>
              <w:rPr>
                <w:rFonts w:hint="eastAsia"/>
                <w:color w:val="2A2A2A"/>
                <w:sz w:val="22"/>
                <w:szCs w:val="22"/>
              </w:rPr>
              <w:t>%，</w:t>
            </w:r>
            <w:r>
              <w:rPr>
                <w:rFonts w:hint="eastAsia"/>
                <w:color w:val="2A2A2A"/>
                <w:sz w:val="22"/>
                <w:szCs w:val="22"/>
                <w:lang w:val="en-US" w:eastAsia="zh-CN"/>
              </w:rPr>
              <w:t>人员增多</w:t>
            </w:r>
          </w:p>
        </w:tc>
      </w:tr>
      <w:tr>
        <w:tblPrEx>
          <w:tblLayout w:type="fixed"/>
          <w:tblCellMar>
            <w:top w:w="0" w:type="dxa"/>
            <w:left w:w="0" w:type="dxa"/>
            <w:bottom w:w="0" w:type="dxa"/>
            <w:right w:w="0" w:type="dxa"/>
          </w:tblCellMar>
        </w:tblPrEx>
        <w:trPr>
          <w:trHeight w:val="379"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21007</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计划生育事务</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228.26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228.26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865"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2100799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其他计划生育事务支出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228.26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228.26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212</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城乡社区支出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52.06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52.06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80"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hint="eastAsia" w:ascii="Calibri" w:hAnsi="Calibri" w:eastAsia="宋体" w:cs="宋体"/>
                <w:color w:val="2A2A2A"/>
                <w:sz w:val="21"/>
                <w:szCs w:val="21"/>
                <w:lang w:val="en-US" w:eastAsia="zh-CN"/>
              </w:rPr>
            </w:pPr>
            <w:r>
              <w:rPr>
                <w:rFonts w:hint="eastAsia" w:ascii="Calibri" w:hAnsi="Calibri" w:eastAsia="宋体" w:cs="宋体"/>
                <w:color w:val="2A2A2A"/>
                <w:sz w:val="21"/>
                <w:szCs w:val="21"/>
                <w:lang w:val="en-US" w:eastAsia="zh-CN"/>
              </w:rPr>
              <w:t>比去年增加5%，人员经费增加</w:t>
            </w:r>
          </w:p>
        </w:tc>
      </w:tr>
      <w:tr>
        <w:tblPrEx>
          <w:tblLayout w:type="fixed"/>
          <w:tblCellMar>
            <w:top w:w="0" w:type="dxa"/>
            <w:left w:w="0" w:type="dxa"/>
            <w:bottom w:w="0" w:type="dxa"/>
            <w:right w:w="0" w:type="dxa"/>
          </w:tblCellMar>
        </w:tblPrEx>
        <w:trPr>
          <w:trHeight w:val="34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21201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城乡社区管理事务</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52.06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52.06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0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2120199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其他城乡社区管理事务支出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52.06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52.06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19"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tabs>
                <w:tab w:val="center" w:pos="385"/>
              </w:tabs>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213</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农林水支出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540.28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291.71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248.57 </w:t>
            </w:r>
          </w:p>
        </w:tc>
        <w:tc>
          <w:tcPr>
            <w:tcW w:w="1080"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ascii="Calibri" w:hAnsi="Calibri" w:eastAsia="宋体" w:cs="宋体"/>
                <w:color w:val="2A2A2A"/>
                <w:sz w:val="21"/>
                <w:szCs w:val="21"/>
              </w:rPr>
            </w:pPr>
            <w:r>
              <w:rPr>
                <w:rFonts w:hint="eastAsia"/>
                <w:color w:val="2A2A2A"/>
                <w:sz w:val="22"/>
                <w:szCs w:val="22"/>
              </w:rPr>
              <w:t>比去年增加</w:t>
            </w:r>
            <w:r>
              <w:rPr>
                <w:rFonts w:hint="eastAsia"/>
                <w:color w:val="2A2A2A"/>
                <w:sz w:val="22"/>
                <w:szCs w:val="22"/>
                <w:lang w:val="en-US" w:eastAsia="zh-CN"/>
              </w:rPr>
              <w:t>98</w:t>
            </w:r>
            <w:r>
              <w:rPr>
                <w:rFonts w:hint="eastAsia"/>
                <w:color w:val="2A2A2A"/>
                <w:sz w:val="22"/>
                <w:szCs w:val="22"/>
              </w:rPr>
              <w:t>%，原因是</w:t>
            </w:r>
            <w:r>
              <w:rPr>
                <w:rFonts w:hint="eastAsia"/>
                <w:color w:val="2A2A2A"/>
                <w:sz w:val="22"/>
                <w:szCs w:val="22"/>
                <w:lang w:val="en-US" w:eastAsia="zh-CN"/>
              </w:rPr>
              <w:t>人 员和</w:t>
            </w:r>
            <w:r>
              <w:rPr>
                <w:rFonts w:hint="eastAsia"/>
                <w:color w:val="2A2A2A"/>
                <w:sz w:val="22"/>
                <w:szCs w:val="22"/>
              </w:rPr>
              <w:t>项目经费增加</w:t>
            </w:r>
          </w:p>
        </w:tc>
      </w:tr>
      <w:tr>
        <w:tblPrEx>
          <w:tblLayout w:type="fixed"/>
          <w:tblCellMar>
            <w:top w:w="0" w:type="dxa"/>
            <w:left w:w="0" w:type="dxa"/>
            <w:bottom w:w="0" w:type="dxa"/>
            <w:right w:w="0" w:type="dxa"/>
          </w:tblCellMar>
        </w:tblPrEx>
        <w:trPr>
          <w:trHeight w:val="379"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21301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农业</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291.71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291.71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42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2130104</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事业运行</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291.71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291.71 </w:t>
            </w: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0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21307</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农村综合改革</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248.57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248.57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2130705</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对村民委员会和村党支部的补助</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248.57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248.57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4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214</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交通运输支出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1.00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1.00 </w:t>
            </w:r>
          </w:p>
        </w:tc>
        <w:tc>
          <w:tcPr>
            <w:tcW w:w="1080"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hint="eastAsia" w:ascii="Calibri" w:hAnsi="Calibri" w:eastAsia="宋体" w:cs="宋体"/>
                <w:color w:val="2A2A2A"/>
                <w:sz w:val="21"/>
                <w:szCs w:val="21"/>
                <w:lang w:val="en-US" w:eastAsia="zh-CN"/>
              </w:rPr>
            </w:pPr>
            <w:r>
              <w:rPr>
                <w:rFonts w:hint="eastAsia" w:ascii="Calibri" w:hAnsi="Calibri" w:eastAsia="宋体" w:cs="宋体"/>
                <w:color w:val="2A2A2A"/>
                <w:sz w:val="21"/>
                <w:szCs w:val="21"/>
                <w:lang w:val="en-US" w:eastAsia="zh-CN"/>
              </w:rPr>
              <w:t>新增项目</w:t>
            </w:r>
          </w:p>
        </w:tc>
      </w:tr>
      <w:tr>
        <w:tblPrEx>
          <w:tblLayout w:type="fixed"/>
          <w:tblCellMar>
            <w:top w:w="0" w:type="dxa"/>
            <w:left w:w="0" w:type="dxa"/>
            <w:bottom w:w="0" w:type="dxa"/>
            <w:right w:w="0" w:type="dxa"/>
          </w:tblCellMar>
        </w:tblPrEx>
        <w:trPr>
          <w:trHeight w:val="36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21401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公路水路运输</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1.00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1.00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2140110</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公路和运输安全</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1.00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1.00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4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215</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资源勘探信息等支出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2.58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2.58 </w:t>
            </w:r>
          </w:p>
        </w:tc>
        <w:tc>
          <w:tcPr>
            <w:tcW w:w="1080" w:type="dxa"/>
            <w:gridSpan w:val="2"/>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560" w:lineRule="atLeast"/>
              <w:ind w:left="0" w:leftChars="0" w:firstLine="0" w:firstLineChars="0"/>
              <w:rPr>
                <w:rFonts w:hint="eastAsia" w:ascii="Calibri" w:hAnsi="Calibri" w:eastAsia="宋体" w:cs="宋体"/>
                <w:color w:val="2A2A2A"/>
                <w:sz w:val="21"/>
                <w:szCs w:val="21"/>
                <w:lang w:val="en-US" w:eastAsia="zh-CN"/>
              </w:rPr>
            </w:pPr>
            <w:r>
              <w:rPr>
                <w:rFonts w:hint="eastAsia" w:ascii="Calibri" w:hAnsi="Calibri" w:eastAsia="宋体" w:cs="宋体"/>
                <w:color w:val="2A2A2A"/>
                <w:sz w:val="21"/>
                <w:szCs w:val="21"/>
                <w:lang w:val="en-US" w:eastAsia="zh-CN"/>
              </w:rPr>
              <w:t>比上年增加87%，原因是项目增加</w:t>
            </w:r>
          </w:p>
        </w:tc>
      </w:tr>
      <w:tr>
        <w:tblPrEx>
          <w:tblLayout w:type="fixed"/>
          <w:tblCellMar>
            <w:top w:w="0" w:type="dxa"/>
            <w:left w:w="0" w:type="dxa"/>
            <w:bottom w:w="0" w:type="dxa"/>
            <w:right w:w="0" w:type="dxa"/>
          </w:tblCellMar>
        </w:tblPrEx>
        <w:trPr>
          <w:trHeight w:val="34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21506</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安全生产监管</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2.58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2.58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462" w:hRule="atLeast"/>
        </w:trPr>
        <w:tc>
          <w:tcPr>
            <w:tcW w:w="98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2150699</w:t>
            </w:r>
          </w:p>
        </w:tc>
        <w:tc>
          <w:tcPr>
            <w:tcW w:w="32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其他安全生产监管支出</w:t>
            </w:r>
          </w:p>
        </w:tc>
        <w:tc>
          <w:tcPr>
            <w:tcW w:w="879" w:type="dxa"/>
            <w:tcBorders>
              <w:top w:val="nil"/>
              <w:left w:val="nil"/>
              <w:bottom w:val="single" w:color="000000" w:sz="8" w:space="0"/>
              <w:right w:val="nil"/>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2.58 </w:t>
            </w:r>
          </w:p>
        </w:tc>
        <w:tc>
          <w:tcPr>
            <w:tcW w:w="110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64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jc w:val="right"/>
              <w:rPr>
                <w:rFonts w:ascii="Calibri" w:hAnsi="Calibri" w:eastAsia="宋体" w:cs="宋体"/>
                <w:color w:val="2A2A2A"/>
                <w:sz w:val="21"/>
                <w:szCs w:val="21"/>
              </w:rPr>
            </w:pPr>
          </w:p>
        </w:tc>
        <w:tc>
          <w:tcPr>
            <w:tcW w:w="1014"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left="0" w:leftChars="0" w:firstLine="0" w:firstLineChars="0"/>
              <w:jc w:val="both"/>
              <w:textAlignment w:val="bottom"/>
              <w:rPr>
                <w:rFonts w:ascii="Calibri" w:hAnsi="Calibri" w:eastAsia="宋体" w:cs="宋体"/>
                <w:color w:val="2A2A2A"/>
                <w:sz w:val="21"/>
                <w:szCs w:val="21"/>
              </w:rPr>
            </w:pPr>
            <w:r>
              <w:rPr>
                <w:rFonts w:hint="eastAsia" w:ascii="宋体" w:hAnsi="宋体" w:eastAsia="宋体" w:cs="宋体"/>
                <w:i w:val="0"/>
                <w:color w:val="000000"/>
                <w:kern w:val="0"/>
                <w:sz w:val="20"/>
                <w:szCs w:val="20"/>
                <w:u w:val="none"/>
                <w:lang w:val="en-US" w:eastAsia="zh-CN" w:bidi="ar"/>
              </w:rPr>
              <w:t xml:space="preserve">2.58 </w:t>
            </w:r>
          </w:p>
        </w:tc>
        <w:tc>
          <w:tcPr>
            <w:tcW w:w="1080" w:type="dxa"/>
            <w:gridSpan w:val="2"/>
            <w:vMerge w:val="continue"/>
            <w:tcBorders>
              <w:top w:val="nil"/>
              <w:left w:val="nil"/>
              <w:bottom w:val="single" w:color="000000" w:sz="8" w:space="0"/>
              <w:right w:val="single" w:color="auto" w:sz="8" w:space="0"/>
            </w:tcBorders>
            <w:vAlign w:val="center"/>
          </w:tcPr>
          <w:p>
            <w:pPr>
              <w:ind w:firstLine="420"/>
              <w:rPr>
                <w:rFonts w:ascii="Calibri" w:hAnsi="Calibri" w:eastAsia="宋体" w:cs="宋体"/>
                <w:color w:val="2A2A2A"/>
                <w:sz w:val="21"/>
                <w:szCs w:val="21"/>
              </w:rPr>
            </w:pPr>
          </w:p>
        </w:tc>
      </w:tr>
    </w:tbl>
    <w:p>
      <w:pPr>
        <w:spacing w:line="560" w:lineRule="atLeast"/>
        <w:ind w:firstLine="640"/>
        <w:rPr>
          <w:rFonts w:ascii="Calibri" w:hAnsi="Calibri"/>
          <w:color w:val="2A2A2A"/>
          <w:sz w:val="19"/>
          <w:szCs w:val="19"/>
        </w:rPr>
      </w:pPr>
      <w:r>
        <w:rPr>
          <w:rFonts w:hint="eastAsia" w:ascii="仿宋_GB2312" w:hAnsi="Calibri"/>
          <w:color w:val="2A2A2A"/>
          <w:szCs w:val="32"/>
        </w:rPr>
        <w:t> </w:t>
      </w:r>
    </w:p>
    <w:p>
      <w:pPr>
        <w:pStyle w:val="7"/>
        <w:spacing w:line="560" w:lineRule="atLeast"/>
        <w:ind w:firstLine="640"/>
        <w:rPr>
          <w:color w:val="2A2A2A"/>
          <w:sz w:val="24"/>
          <w:szCs w:val="24"/>
        </w:rPr>
      </w:pPr>
      <w:r>
        <w:rPr>
          <w:rFonts w:hint="eastAsia" w:ascii="仿宋_GB2312" w:eastAsia="仿宋_GB2312"/>
          <w:color w:val="2A2A2A"/>
          <w:sz w:val="32"/>
          <w:szCs w:val="32"/>
        </w:rPr>
        <w:t>3、支出按经济科目分类的明细情况。2018年本部门支出预算为</w:t>
      </w:r>
      <w:r>
        <w:rPr>
          <w:rFonts w:hint="eastAsia" w:ascii="仿宋_GB2312" w:hAnsi="Calibri"/>
          <w:color w:val="2A2A2A"/>
          <w:szCs w:val="32"/>
        </w:rPr>
        <w:t>2253.23</w:t>
      </w:r>
      <w:r>
        <w:rPr>
          <w:rFonts w:hint="eastAsia" w:ascii="仿宋_GB2312" w:eastAsia="仿宋_GB2312"/>
          <w:color w:val="2A2A2A"/>
          <w:sz w:val="32"/>
          <w:szCs w:val="32"/>
        </w:rPr>
        <w:t>万元，其中人员经费支出1867.39万元，较上年增加，原因是撤销高渠便民服务中心后经费增加。其中工资福利支出1061.91元，较上年增加28%；对个人和家庭补助支出473.13万元，较上年增加28%；公用经费支出86.33万元，较上年增加34.68%，原因是高渠便民服务中心并入后经费增加。</w:t>
      </w:r>
    </w:p>
    <w:tbl>
      <w:tblPr>
        <w:tblStyle w:val="15"/>
        <w:tblW w:w="8431" w:type="dxa"/>
        <w:tblInd w:w="95" w:type="dxa"/>
        <w:tblLayout w:type="fixed"/>
        <w:tblCellMar>
          <w:top w:w="0" w:type="dxa"/>
          <w:left w:w="0" w:type="dxa"/>
          <w:bottom w:w="0" w:type="dxa"/>
          <w:right w:w="0" w:type="dxa"/>
        </w:tblCellMar>
      </w:tblPr>
      <w:tblGrid>
        <w:gridCol w:w="1120"/>
        <w:gridCol w:w="1680"/>
        <w:gridCol w:w="1120"/>
        <w:gridCol w:w="1220"/>
        <w:gridCol w:w="1280"/>
        <w:gridCol w:w="1120"/>
        <w:gridCol w:w="891"/>
      </w:tblGrid>
      <w:tr>
        <w:tblPrEx>
          <w:tblLayout w:type="fixed"/>
          <w:tblCellMar>
            <w:top w:w="0" w:type="dxa"/>
            <w:left w:w="0" w:type="dxa"/>
            <w:bottom w:w="0" w:type="dxa"/>
            <w:right w:w="0" w:type="dxa"/>
          </w:tblCellMar>
        </w:tblPrEx>
        <w:trPr>
          <w:trHeight w:val="570" w:hRule="atLeast"/>
        </w:trPr>
        <w:tc>
          <w:tcPr>
            <w:tcW w:w="8431" w:type="dxa"/>
            <w:gridSpan w:val="7"/>
            <w:tcMar>
              <w:top w:w="0" w:type="dxa"/>
              <w:left w:w="108" w:type="dxa"/>
              <w:bottom w:w="0" w:type="dxa"/>
              <w:right w:w="108" w:type="dxa"/>
            </w:tcMar>
            <w:vAlign w:val="center"/>
          </w:tcPr>
          <w:p>
            <w:pPr>
              <w:spacing w:line="560" w:lineRule="atLeast"/>
              <w:ind w:firstLine="640"/>
              <w:rPr>
                <w:rFonts w:ascii="Calibri" w:hAnsi="Calibri" w:eastAsia="宋体" w:cs="宋体"/>
                <w:color w:val="2A2A2A"/>
                <w:sz w:val="21"/>
                <w:szCs w:val="21"/>
              </w:rPr>
            </w:pPr>
            <w:r>
              <w:rPr>
                <w:rFonts w:hint="eastAsia"/>
                <w:b/>
                <w:bCs/>
                <w:color w:val="2A2A2A"/>
              </w:rPr>
              <w:t>2018年部门综合预算一般公共预算支出明细表（按经济分类科目分）</w:t>
            </w:r>
          </w:p>
        </w:tc>
      </w:tr>
      <w:tr>
        <w:tblPrEx>
          <w:tblLayout w:type="fixed"/>
          <w:tblCellMar>
            <w:top w:w="0" w:type="dxa"/>
            <w:left w:w="0" w:type="dxa"/>
            <w:bottom w:w="0" w:type="dxa"/>
            <w:right w:w="0" w:type="dxa"/>
          </w:tblCellMar>
        </w:tblPrEx>
        <w:trPr>
          <w:trHeight w:val="450" w:hRule="atLeast"/>
        </w:trPr>
        <w:tc>
          <w:tcPr>
            <w:tcW w:w="112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68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12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22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28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120"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891" w:type="dxa"/>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单位：万元</w:t>
            </w:r>
          </w:p>
        </w:tc>
      </w:tr>
      <w:tr>
        <w:tblPrEx>
          <w:tblLayout w:type="fixed"/>
          <w:tblCellMar>
            <w:top w:w="0" w:type="dxa"/>
            <w:left w:w="0" w:type="dxa"/>
            <w:bottom w:w="0" w:type="dxa"/>
            <w:right w:w="0" w:type="dxa"/>
          </w:tblCellMar>
        </w:tblPrEx>
        <w:trPr>
          <w:trHeight w:val="450" w:hRule="atLeast"/>
        </w:trPr>
        <w:tc>
          <w:tcPr>
            <w:tcW w:w="11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经济科目编码</w:t>
            </w:r>
          </w:p>
        </w:tc>
        <w:tc>
          <w:tcPr>
            <w:tcW w:w="1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经济科目名称</w:t>
            </w:r>
          </w:p>
        </w:tc>
        <w:tc>
          <w:tcPr>
            <w:tcW w:w="11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合计</w:t>
            </w:r>
          </w:p>
        </w:tc>
        <w:tc>
          <w:tcPr>
            <w:tcW w:w="12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人员经费支出</w:t>
            </w:r>
          </w:p>
        </w:tc>
        <w:tc>
          <w:tcPr>
            <w:tcW w:w="12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公用经费支出</w:t>
            </w:r>
          </w:p>
        </w:tc>
        <w:tc>
          <w:tcPr>
            <w:tcW w:w="11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项目经费支出</w:t>
            </w:r>
          </w:p>
        </w:tc>
        <w:tc>
          <w:tcPr>
            <w:tcW w:w="8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备注</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1</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2</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3</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4</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2253.23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1867.39 </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86.33 </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righ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299.51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工资福利支出</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1601.91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1601.91 </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30101</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基本工资</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1410.37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1410.37 </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30102</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津贴补贴</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30103</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奖金</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30104</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社会保障缴费</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35.70 </w:t>
            </w:r>
          </w:p>
        </w:tc>
        <w:tc>
          <w:tcPr>
            <w:tcW w:w="1220" w:type="dxa"/>
            <w:tcBorders>
              <w:top w:val="nil"/>
              <w:left w:val="nil"/>
              <w:bottom w:val="single" w:color="auto" w:sz="8" w:space="0"/>
              <w:right w:val="nil"/>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35.70 </w:t>
            </w: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30106</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伙食补助费</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20" w:type="dxa"/>
            <w:tcBorders>
              <w:top w:val="nil"/>
              <w:left w:val="nil"/>
              <w:bottom w:val="single" w:color="auto" w:sz="8" w:space="0"/>
              <w:right w:val="nil"/>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30107</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绩效工资</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20" w:type="dxa"/>
            <w:tcBorders>
              <w:top w:val="nil"/>
              <w:left w:val="nil"/>
              <w:bottom w:val="single" w:color="auto" w:sz="8" w:space="0"/>
              <w:right w:val="nil"/>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30199</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其他工资福利支出</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20" w:type="dxa"/>
            <w:tcBorders>
              <w:top w:val="nil"/>
              <w:left w:val="nil"/>
              <w:bottom w:val="single" w:color="auto" w:sz="8" w:space="0"/>
              <w:right w:val="nil"/>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bottom"/>
          </w:tcPr>
          <w:p>
            <w:pPr>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30311</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住房公积金</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155.84 </w:t>
            </w:r>
          </w:p>
        </w:tc>
        <w:tc>
          <w:tcPr>
            <w:tcW w:w="1220" w:type="dxa"/>
            <w:tcBorders>
              <w:top w:val="nil"/>
              <w:left w:val="nil"/>
              <w:bottom w:val="single" w:color="auto" w:sz="8" w:space="0"/>
              <w:right w:val="nil"/>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155.84 </w:t>
            </w: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bottom"/>
          </w:tcPr>
          <w:p>
            <w:pPr>
              <w:rPr>
                <w:rFonts w:ascii="Calibri" w:hAnsi="Calibri" w:eastAsia="宋体" w:cs="宋体"/>
                <w:color w:val="2A2A2A"/>
                <w:sz w:val="21"/>
                <w:szCs w:val="21"/>
              </w:rPr>
            </w:pP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商品和服务支出</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178.19 </w:t>
            </w:r>
          </w:p>
        </w:tc>
        <w:tc>
          <w:tcPr>
            <w:tcW w:w="1220" w:type="dxa"/>
            <w:tcBorders>
              <w:top w:val="nil"/>
              <w:left w:val="nil"/>
              <w:bottom w:val="single" w:color="auto" w:sz="8" w:space="0"/>
              <w:right w:val="nil"/>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86.33 </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91.86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30201</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办公费</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121.90 </w:t>
            </w:r>
          </w:p>
        </w:tc>
        <w:tc>
          <w:tcPr>
            <w:tcW w:w="1220" w:type="dxa"/>
            <w:tcBorders>
              <w:top w:val="nil"/>
              <w:left w:val="nil"/>
              <w:bottom w:val="single" w:color="auto" w:sz="8" w:space="0"/>
              <w:right w:val="nil"/>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43.00 </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78.90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30213</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维修费</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3.00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3.00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30215</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会议费</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4.50 </w:t>
            </w:r>
          </w:p>
        </w:tc>
        <w:tc>
          <w:tcPr>
            <w:tcW w:w="12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2.50 </w:t>
            </w:r>
          </w:p>
        </w:tc>
        <w:tc>
          <w:tcPr>
            <w:tcW w:w="1120"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2.00 </w:t>
            </w:r>
          </w:p>
        </w:tc>
        <w:tc>
          <w:tcPr>
            <w:tcW w:w="891"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30216</w:t>
            </w:r>
          </w:p>
        </w:tc>
        <w:tc>
          <w:tcPr>
            <w:tcW w:w="1680"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培训费</w:t>
            </w:r>
          </w:p>
        </w:tc>
        <w:tc>
          <w:tcPr>
            <w:tcW w:w="1120"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2.00 </w:t>
            </w:r>
          </w:p>
        </w:tc>
        <w:tc>
          <w:tcPr>
            <w:tcW w:w="1220"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ascii="Calibri" w:hAnsi="Calibri" w:eastAsia="宋体" w:cs="宋体"/>
                <w:color w:val="2A2A2A"/>
                <w:sz w:val="21"/>
                <w:szCs w:val="21"/>
              </w:rPr>
            </w:pPr>
          </w:p>
        </w:tc>
        <w:tc>
          <w:tcPr>
            <w:tcW w:w="1280"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1.00 </w:t>
            </w:r>
          </w:p>
        </w:tc>
        <w:tc>
          <w:tcPr>
            <w:tcW w:w="1120" w:type="dxa"/>
            <w:tcBorders>
              <w:top w:val="nil"/>
              <w:left w:val="nil"/>
              <w:bottom w:val="single" w:color="auto" w:sz="4" w:space="0"/>
              <w:right w:val="single" w:color="auto" w:sz="8" w:space="0"/>
            </w:tcBorders>
            <w:tcMar>
              <w:top w:w="0" w:type="dxa"/>
              <w:left w:w="108" w:type="dxa"/>
              <w:bottom w:w="0" w:type="dxa"/>
              <w:right w:w="108" w:type="dxa"/>
            </w:tcMar>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1.00 </w:t>
            </w:r>
          </w:p>
        </w:tc>
        <w:tc>
          <w:tcPr>
            <w:tcW w:w="891" w:type="dxa"/>
            <w:tcBorders>
              <w:top w:val="nil"/>
              <w:left w:val="nil"/>
              <w:bottom w:val="single" w:color="auto" w:sz="4" w:space="0"/>
              <w:right w:val="single" w:color="auto" w:sz="8" w:space="0"/>
            </w:tcBorders>
            <w:tcMar>
              <w:top w:w="0" w:type="dxa"/>
              <w:left w:w="108" w:type="dxa"/>
              <w:bottom w:w="0" w:type="dxa"/>
              <w:right w:w="108" w:type="dxa"/>
            </w:tcMar>
            <w:vAlign w:val="bottom"/>
          </w:tcPr>
          <w:p>
            <w:pPr>
              <w:spacing w:line="560" w:lineRule="atLeast"/>
              <w:ind w:firstLine="360"/>
              <w:rPr>
                <w:rFonts w:ascii="Calibri" w:hAnsi="Calibri" w:eastAsia="宋体" w:cs="宋体"/>
                <w:color w:val="2A2A2A"/>
                <w:sz w:val="21"/>
                <w:szCs w:val="21"/>
              </w:rPr>
            </w:pPr>
            <w:r>
              <w:rPr>
                <w:rFonts w:hint="eastAsia"/>
                <w:color w:val="2A2A2A"/>
                <w:sz w:val="18"/>
                <w:szCs w:val="18"/>
              </w:rPr>
              <w:t>　</w:t>
            </w: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30217</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公务接待费</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6.00 </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6.00 </w:t>
            </w:r>
          </w:p>
        </w:tc>
        <w:tc>
          <w:tcPr>
            <w:tcW w:w="11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30226</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劳务费</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4.50 </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4.50 </w:t>
            </w: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30228</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工会经费</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24.33 </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24.33 </w:t>
            </w:r>
          </w:p>
        </w:tc>
        <w:tc>
          <w:tcPr>
            <w:tcW w:w="11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30231</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公务用车运行维护费</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9.50 </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9.50 </w:t>
            </w:r>
          </w:p>
        </w:tc>
        <w:tc>
          <w:tcPr>
            <w:tcW w:w="11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30299</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其它商品和服务支出</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2.46 </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2.46 </w:t>
            </w: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303</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对个人和家庭的补助</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473.13 </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265.48 </w:t>
            </w:r>
          </w:p>
        </w:tc>
        <w:tc>
          <w:tcPr>
            <w:tcW w:w="128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207.65 </w:t>
            </w: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30302</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退休费</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540" w:firstLineChars="30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157.34 </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157.34 </w:t>
            </w:r>
          </w:p>
        </w:tc>
        <w:tc>
          <w:tcPr>
            <w:tcW w:w="128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30304</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抚恤金</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540" w:firstLineChars="30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19.64 </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19.64 </w:t>
            </w:r>
          </w:p>
        </w:tc>
        <w:tc>
          <w:tcPr>
            <w:tcW w:w="128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30305</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left"/>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生活补助</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540" w:firstLineChars="30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88.50 </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88.50 </w:t>
            </w:r>
          </w:p>
        </w:tc>
        <w:tc>
          <w:tcPr>
            <w:tcW w:w="128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r>
        <w:tblPrEx>
          <w:tblLayout w:type="fixed"/>
          <w:tblCellMar>
            <w:top w:w="0" w:type="dxa"/>
            <w:left w:w="0" w:type="dxa"/>
            <w:bottom w:w="0" w:type="dxa"/>
            <w:right w:w="0" w:type="dxa"/>
          </w:tblCellMar>
        </w:tblPrEx>
        <w:trPr>
          <w:trHeight w:val="360" w:hRule="atLeast"/>
        </w:trPr>
        <w:tc>
          <w:tcPr>
            <w:tcW w:w="112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30399</w:t>
            </w:r>
          </w:p>
        </w:tc>
        <w:tc>
          <w:tcPr>
            <w:tcW w:w="168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left="0" w:leftChars="0" w:firstLine="0" w:firstLineChars="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其他对个人和家庭的补助</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540" w:firstLineChars="300"/>
              <w:jc w:val="both"/>
              <w:textAlignment w:val="center"/>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 xml:space="preserve">207.65 </w:t>
            </w:r>
          </w:p>
        </w:tc>
        <w:tc>
          <w:tcPr>
            <w:tcW w:w="122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1280" w:type="dxa"/>
            <w:tcBorders>
              <w:top w:val="single" w:color="auto" w:sz="4" w:space="0"/>
              <w:left w:val="single" w:color="auto" w:sz="4" w:space="0"/>
              <w:bottom w:val="single" w:color="auto" w:sz="4" w:space="0"/>
              <w:right w:val="single" w:color="auto" w:sz="4" w:space="0"/>
            </w:tcBorders>
            <w:vAlign w:val="bottom"/>
          </w:tcPr>
          <w:p>
            <w:pPr>
              <w:rPr>
                <w:rFonts w:ascii="Calibri" w:hAnsi="Calibri" w:eastAsia="宋体" w:cs="宋体"/>
                <w:color w:val="2A2A2A"/>
                <w:sz w:val="21"/>
                <w:szCs w:val="21"/>
              </w:rPr>
            </w:pPr>
          </w:p>
        </w:tc>
        <w:tc>
          <w:tcPr>
            <w:tcW w:w="112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left"/>
              <w:textAlignment w:val="bottom"/>
              <w:rPr>
                <w:rFonts w:ascii="Calibri" w:hAnsi="Calibri" w:eastAsia="宋体" w:cs="宋体"/>
                <w:color w:val="2A2A2A"/>
                <w:sz w:val="21"/>
                <w:szCs w:val="21"/>
              </w:rPr>
            </w:pPr>
            <w:r>
              <w:rPr>
                <w:rFonts w:hint="eastAsia" w:ascii="宋体" w:hAnsi="宋体" w:eastAsia="宋体" w:cs="宋体"/>
                <w:i w:val="0"/>
                <w:color w:val="000000"/>
                <w:kern w:val="0"/>
                <w:sz w:val="18"/>
                <w:szCs w:val="18"/>
                <w:u w:val="none"/>
                <w:lang w:val="en-US" w:eastAsia="zh-CN" w:bidi="ar"/>
              </w:rPr>
              <w:t>207.65</w:t>
            </w:r>
          </w:p>
        </w:tc>
        <w:tc>
          <w:tcPr>
            <w:tcW w:w="891" w:type="dxa"/>
            <w:tcBorders>
              <w:top w:val="single" w:color="auto" w:sz="4" w:space="0"/>
              <w:left w:val="single" w:color="auto" w:sz="4" w:space="0"/>
              <w:bottom w:val="single" w:color="auto" w:sz="4" w:space="0"/>
              <w:right w:val="single" w:color="auto" w:sz="4" w:space="0"/>
            </w:tcBorders>
          </w:tcPr>
          <w:p>
            <w:pPr>
              <w:spacing w:line="560" w:lineRule="atLeast"/>
              <w:ind w:firstLine="360"/>
              <w:rPr>
                <w:rFonts w:ascii="Calibri" w:hAnsi="Calibri" w:eastAsia="宋体" w:cs="宋体"/>
                <w:color w:val="2A2A2A"/>
                <w:sz w:val="21"/>
                <w:szCs w:val="21"/>
              </w:rPr>
            </w:pPr>
          </w:p>
        </w:tc>
      </w:tr>
    </w:tbl>
    <w:p>
      <w:pPr>
        <w:spacing w:line="560" w:lineRule="atLeast"/>
        <w:ind w:left="127" w:right="271" w:firstLine="640"/>
        <w:rPr>
          <w:rFonts w:ascii="Calibri" w:hAnsi="Calibri"/>
          <w:color w:val="2A2A2A"/>
          <w:sz w:val="19"/>
          <w:szCs w:val="19"/>
        </w:rPr>
      </w:pPr>
      <w:r>
        <w:rPr>
          <w:rFonts w:hint="eastAsia"/>
          <w:color w:val="2A2A2A"/>
          <w:szCs w:val="32"/>
        </w:rPr>
        <w:t> </w:t>
      </w:r>
    </w:p>
    <w:p>
      <w:pPr>
        <w:spacing w:line="560" w:lineRule="atLeast"/>
        <w:ind w:right="271" w:firstLine="640"/>
        <w:rPr>
          <w:rFonts w:ascii="Calibri" w:hAnsi="Calibri"/>
          <w:color w:val="2A2A2A"/>
          <w:sz w:val="19"/>
          <w:szCs w:val="19"/>
        </w:rPr>
      </w:pPr>
      <w:r>
        <w:rPr>
          <w:rFonts w:hint="eastAsia" w:ascii="仿宋_GB2312" w:hAnsi="Calibri"/>
          <w:color w:val="2A2A2A"/>
          <w:szCs w:val="32"/>
        </w:rPr>
        <w:t>（四）政府性基金预算支出情况。</w:t>
      </w:r>
    </w:p>
    <w:p>
      <w:pPr>
        <w:spacing w:line="560" w:lineRule="atLeast"/>
        <w:ind w:right="271" w:firstLine="640"/>
        <w:rPr>
          <w:rFonts w:ascii="Calibri" w:hAnsi="Calibri"/>
          <w:color w:val="2A2A2A"/>
          <w:sz w:val="19"/>
          <w:szCs w:val="19"/>
        </w:rPr>
      </w:pPr>
      <w:r>
        <w:rPr>
          <w:rFonts w:hint="eastAsia" w:ascii="仿宋_GB2312" w:hAnsi="Calibri"/>
          <w:color w:val="2A2A2A"/>
          <w:szCs w:val="32"/>
        </w:rPr>
        <w:t>本部门无政府性基金预算收支，并已公开空表。</w:t>
      </w:r>
    </w:p>
    <w:p>
      <w:pPr>
        <w:spacing w:line="560" w:lineRule="atLeast"/>
        <w:ind w:right="271" w:firstLine="640"/>
        <w:rPr>
          <w:rFonts w:ascii="Calibri" w:hAnsi="Calibri"/>
          <w:color w:val="2A2A2A"/>
          <w:sz w:val="19"/>
          <w:szCs w:val="19"/>
        </w:rPr>
      </w:pPr>
      <w:r>
        <w:rPr>
          <w:rFonts w:hint="eastAsia" w:ascii="仿宋_GB2312" w:hAnsi="Calibri"/>
          <w:color w:val="2A2A2A"/>
          <w:szCs w:val="32"/>
        </w:rPr>
        <w:t>（五）国有资本经营预算拨款收支情况。</w:t>
      </w:r>
    </w:p>
    <w:p>
      <w:pPr>
        <w:spacing w:line="560" w:lineRule="atLeast"/>
        <w:ind w:right="271" w:firstLine="640"/>
        <w:rPr>
          <w:rFonts w:ascii="Calibri" w:hAnsi="Calibri"/>
          <w:color w:val="2A2A2A"/>
          <w:sz w:val="19"/>
          <w:szCs w:val="19"/>
        </w:rPr>
      </w:pPr>
      <w:r>
        <w:rPr>
          <w:rFonts w:hint="eastAsia" w:ascii="仿宋_GB2312" w:hAnsi="Calibri"/>
          <w:color w:val="2A2A2A"/>
          <w:szCs w:val="32"/>
        </w:rPr>
        <w:t>本部门无固有资本经营预算拨款收支。</w:t>
      </w:r>
    </w:p>
    <w:p>
      <w:pPr>
        <w:spacing w:line="560" w:lineRule="atLeast"/>
        <w:ind w:right="271" w:firstLine="640"/>
        <w:rPr>
          <w:rFonts w:ascii="Calibri" w:hAnsi="Calibri"/>
          <w:color w:val="2A2A2A"/>
          <w:sz w:val="19"/>
          <w:szCs w:val="19"/>
        </w:rPr>
      </w:pPr>
      <w:r>
        <w:rPr>
          <w:rFonts w:hint="eastAsia" w:ascii="仿宋_GB2312" w:hAnsi="Calibri"/>
          <w:color w:val="2A2A2A"/>
          <w:szCs w:val="32"/>
        </w:rPr>
        <w:t>（六）</w:t>
      </w:r>
      <w:r>
        <w:rPr>
          <w:rFonts w:hint="eastAsia" w:ascii="仿宋_GB2312"/>
          <w:color w:val="2A2A2A"/>
          <w:szCs w:val="32"/>
        </w:rPr>
        <w:t>2018年“三公”经费预算22万元，较上年略有上涨。其中出国费0万元，较上年没有变化；公务用车运行维护费9.5万元，较上年有所上涨。</w:t>
      </w:r>
    </w:p>
    <w:p>
      <w:pPr>
        <w:spacing w:line="560" w:lineRule="atLeast"/>
        <w:ind w:right="271" w:firstLine="640"/>
        <w:rPr>
          <w:rFonts w:ascii="Calibri" w:hAnsi="Calibri"/>
          <w:color w:val="2A2A2A"/>
          <w:sz w:val="19"/>
          <w:szCs w:val="19"/>
        </w:rPr>
      </w:pPr>
      <w:r>
        <w:rPr>
          <w:rFonts w:hint="eastAsia" w:ascii="仿宋_GB2312" w:hAnsi="Calibri"/>
          <w:color w:val="2A2A2A"/>
          <w:szCs w:val="32"/>
        </w:rPr>
        <w:t>2018年会议费预算4.5万元，与去年一致。</w:t>
      </w:r>
    </w:p>
    <w:p>
      <w:pPr>
        <w:spacing w:line="560" w:lineRule="atLeast"/>
        <w:ind w:right="271" w:firstLine="640"/>
        <w:rPr>
          <w:rFonts w:ascii="Calibri" w:hAnsi="Calibri"/>
          <w:color w:val="2A2A2A"/>
          <w:sz w:val="19"/>
          <w:szCs w:val="19"/>
        </w:rPr>
      </w:pPr>
      <w:r>
        <w:rPr>
          <w:rFonts w:hint="eastAsia" w:ascii="仿宋_GB2312" w:hAnsi="Calibri"/>
          <w:color w:val="2A2A2A"/>
          <w:szCs w:val="32"/>
        </w:rPr>
        <w:t>2018年培训费预算2万元，较上年有所上涨。</w:t>
      </w:r>
    </w:p>
    <w:p>
      <w:pPr>
        <w:spacing w:line="560" w:lineRule="atLeast"/>
        <w:ind w:right="271" w:firstLine="640"/>
        <w:rPr>
          <w:rFonts w:ascii="Calibri" w:hAnsi="Calibri"/>
          <w:color w:val="2A2A2A"/>
          <w:sz w:val="19"/>
          <w:szCs w:val="19"/>
        </w:rPr>
      </w:pPr>
      <w:r>
        <w:rPr>
          <w:rFonts w:hint="eastAsia" w:ascii="仿宋_GB2312" w:hAnsi="Calibri"/>
          <w:color w:val="2A2A2A"/>
          <w:szCs w:val="32"/>
        </w:rPr>
        <w:t>（七）机关运行经费安排情况。</w:t>
      </w:r>
    </w:p>
    <w:p>
      <w:pPr>
        <w:pStyle w:val="7"/>
        <w:spacing w:line="560" w:lineRule="atLeast"/>
        <w:ind w:firstLine="640"/>
        <w:rPr>
          <w:color w:val="2A2A2A"/>
          <w:sz w:val="24"/>
          <w:szCs w:val="24"/>
        </w:rPr>
      </w:pPr>
      <w:r>
        <w:rPr>
          <w:rFonts w:hint="eastAsia" w:ascii="仿宋_GB2312" w:eastAsia="仿宋_GB2312"/>
          <w:color w:val="2A2A2A"/>
          <w:sz w:val="32"/>
          <w:szCs w:val="32"/>
        </w:rPr>
        <w:t>2018年机关运行经费财政拨款预算86.23万元,较上年增加34.68%。原因是</w:t>
      </w:r>
      <w:r>
        <w:rPr>
          <w:rFonts w:hint="eastAsia" w:ascii="仿宋_GB2312" w:eastAsia="仿宋_GB2312"/>
          <w:color w:val="2A2A2A"/>
          <w:sz w:val="32"/>
          <w:szCs w:val="32"/>
          <w:lang w:val="en-US" w:eastAsia="zh-CN"/>
        </w:rPr>
        <w:t>公用经费和</w:t>
      </w:r>
      <w:r>
        <w:rPr>
          <w:rFonts w:hint="eastAsia" w:ascii="仿宋_GB2312" w:eastAsia="仿宋_GB2312"/>
          <w:color w:val="2A2A2A"/>
          <w:sz w:val="32"/>
          <w:szCs w:val="32"/>
        </w:rPr>
        <w:t>工会经费增加。</w:t>
      </w:r>
    </w:p>
    <w:p>
      <w:pPr>
        <w:pStyle w:val="7"/>
        <w:spacing w:line="560" w:lineRule="atLeast"/>
        <w:ind w:firstLine="640"/>
        <w:rPr>
          <w:color w:val="2A2A2A"/>
        </w:rPr>
      </w:pPr>
      <w:r>
        <w:rPr>
          <w:rFonts w:hint="eastAsia" w:ascii="仿宋_GB2312" w:eastAsia="仿宋_GB2312"/>
          <w:color w:val="2A2A2A"/>
          <w:sz w:val="32"/>
          <w:szCs w:val="32"/>
        </w:rPr>
        <w:t>（八）政府采购情况。</w:t>
      </w:r>
      <w:bookmarkStart w:id="1" w:name="_GoBack"/>
      <w:bookmarkEnd w:id="1"/>
    </w:p>
    <w:p>
      <w:pPr>
        <w:pStyle w:val="7"/>
        <w:spacing w:line="560" w:lineRule="atLeast"/>
        <w:ind w:firstLine="640"/>
        <w:rPr>
          <w:color w:val="2A2A2A"/>
        </w:rPr>
      </w:pPr>
      <w:r>
        <w:rPr>
          <w:rFonts w:hint="eastAsia" w:ascii="仿宋_GB2312" w:eastAsia="仿宋_GB2312"/>
          <w:color w:val="2A2A2A"/>
          <w:sz w:val="32"/>
          <w:szCs w:val="32"/>
        </w:rPr>
        <w:t>2018年本部门政府采购预算共204.76万元，均为政府采购货物类预算。</w:t>
      </w:r>
    </w:p>
    <w:p>
      <w:pPr>
        <w:spacing w:line="560" w:lineRule="atLeast"/>
        <w:ind w:right="271" w:firstLine="640"/>
        <w:rPr>
          <w:rFonts w:ascii="Calibri" w:hAnsi="Calibri"/>
          <w:color w:val="2A2A2A"/>
          <w:sz w:val="19"/>
          <w:szCs w:val="19"/>
        </w:rPr>
      </w:pPr>
      <w:r>
        <w:rPr>
          <w:rFonts w:hint="eastAsia" w:ascii="黑体" w:hAnsi="黑体" w:eastAsia="黑体"/>
          <w:color w:val="2A2A2A"/>
          <w:szCs w:val="32"/>
        </w:rPr>
        <w:t>八、专业名词解释</w:t>
      </w:r>
    </w:p>
    <w:p>
      <w:pPr>
        <w:spacing w:line="560" w:lineRule="atLeast"/>
        <w:ind w:firstLine="640"/>
        <w:rPr>
          <w:rFonts w:ascii="Calibri" w:hAnsi="Calibri"/>
          <w:color w:val="2A2A2A"/>
          <w:sz w:val="19"/>
          <w:szCs w:val="19"/>
        </w:rPr>
      </w:pPr>
      <w:r>
        <w:rPr>
          <w:rFonts w:hint="eastAsia" w:ascii="仿宋_GB2312" w:hAnsi="Calibri"/>
          <w:color w:val="2A2A2A"/>
          <w:szCs w:val="32"/>
        </w:rPr>
        <w:t>1.基本支出：指人员经费、商品和服务支出，其中人员经费包括工资福利支出、对个人和家庭的补助。</w:t>
      </w:r>
    </w:p>
    <w:p>
      <w:pPr>
        <w:spacing w:line="560" w:lineRule="atLeast"/>
        <w:ind w:firstLine="640"/>
        <w:rPr>
          <w:rFonts w:ascii="Calibri" w:hAnsi="Calibri"/>
          <w:color w:val="2A2A2A"/>
          <w:sz w:val="19"/>
          <w:szCs w:val="19"/>
        </w:rPr>
      </w:pPr>
      <w:r>
        <w:rPr>
          <w:rFonts w:hint="eastAsia" w:ascii="仿宋_GB2312" w:hAnsi="Calibri"/>
          <w:color w:val="2A2A2A"/>
          <w:szCs w:val="32"/>
        </w:rPr>
        <w:t>工资福利支出：指在职职工的各类劳动报酬,以及为上述人员缴纳的各类社会保险费等。</w:t>
      </w:r>
    </w:p>
    <w:p>
      <w:pPr>
        <w:spacing w:line="560" w:lineRule="atLeast"/>
        <w:ind w:firstLine="640"/>
        <w:rPr>
          <w:rFonts w:ascii="Calibri" w:hAnsi="Calibri"/>
          <w:color w:val="2A2A2A"/>
          <w:sz w:val="19"/>
          <w:szCs w:val="19"/>
        </w:rPr>
      </w:pPr>
      <w:r>
        <w:rPr>
          <w:rFonts w:hint="eastAsia" w:ascii="仿宋_GB2312" w:hAnsi="Calibri"/>
          <w:color w:val="2A2A2A"/>
          <w:szCs w:val="32"/>
        </w:rPr>
        <w:t>对个人和家庭的补助支出：指用于对个人和家庭补助支出，主要包括：单位发放的离退休经费、生活补助、住房公积金等。</w:t>
      </w:r>
    </w:p>
    <w:p>
      <w:pPr>
        <w:spacing w:line="560" w:lineRule="atLeast"/>
        <w:ind w:firstLine="640"/>
        <w:rPr>
          <w:rFonts w:ascii="Calibri" w:hAnsi="Calibri"/>
          <w:color w:val="2A2A2A"/>
          <w:sz w:val="19"/>
          <w:szCs w:val="19"/>
        </w:rPr>
      </w:pPr>
      <w:r>
        <w:rPr>
          <w:rFonts w:hint="eastAsia" w:ascii="仿宋_GB2312" w:hAnsi="Calibri"/>
          <w:color w:val="2A2A2A"/>
          <w:szCs w:val="32"/>
        </w:rPr>
        <w:t>商品和服务支出：指在日常工作中购买商品和服务的支出，主要包括：办公费、水电费、交通费、差旅费、会议费、培训费等，不包括项目支出中购买商品和服务的支出。</w:t>
      </w:r>
    </w:p>
    <w:p>
      <w:pPr>
        <w:spacing w:line="560" w:lineRule="atLeast"/>
        <w:ind w:firstLine="640"/>
        <w:rPr>
          <w:rFonts w:ascii="Calibri" w:hAnsi="Calibri"/>
          <w:color w:val="2A2A2A"/>
          <w:sz w:val="19"/>
          <w:szCs w:val="19"/>
        </w:rPr>
      </w:pPr>
      <w:r>
        <w:rPr>
          <w:rFonts w:hint="eastAsia" w:ascii="仿宋_GB2312" w:hAnsi="Calibri"/>
          <w:color w:val="2A2A2A"/>
          <w:szCs w:val="32"/>
        </w:rPr>
        <w:t>2.项目支出：指根据职能职责为完成行政工作或事业发展目标，在基本支出预算之外编制的年度项目支出计划。</w:t>
      </w:r>
    </w:p>
    <w:p>
      <w:pPr>
        <w:spacing w:line="560" w:lineRule="atLeast"/>
        <w:ind w:firstLine="640"/>
        <w:rPr>
          <w:rFonts w:ascii="Calibri" w:hAnsi="Calibri"/>
          <w:color w:val="2A2A2A"/>
          <w:sz w:val="19"/>
          <w:szCs w:val="19"/>
        </w:rPr>
      </w:pPr>
      <w:r>
        <w:rPr>
          <w:rFonts w:hint="eastAsia" w:ascii="仿宋_GB2312" w:hAnsi="Calibri"/>
          <w:color w:val="2A2A2A"/>
          <w:szCs w:val="32"/>
        </w:rPr>
        <w:t>3.机关运行经费：指本单位对办公及印刷费、邮电费、差旅费、会议费、维修（护）费、专用材料及一般设备购置费、办公用房水电费、取暖费、公务用车运行维护费以及其他费用的开支。</w:t>
      </w:r>
    </w:p>
    <w:p>
      <w:pPr>
        <w:spacing w:line="560" w:lineRule="atLeast"/>
        <w:ind w:firstLine="640"/>
        <w:rPr>
          <w:rFonts w:ascii="Calibri" w:hAnsi="Calibri"/>
          <w:color w:val="2A2A2A"/>
          <w:sz w:val="19"/>
          <w:szCs w:val="19"/>
        </w:rPr>
      </w:pPr>
      <w:r>
        <w:rPr>
          <w:rFonts w:hint="eastAsia" w:ascii="仿宋_GB2312" w:hAnsi="Calibri"/>
          <w:color w:val="2A2A2A"/>
          <w:szCs w:val="32"/>
        </w:rPr>
        <w:t>4.三公经费：指本单位人员因公出国（境）经费、公务车购置及运行费、公务招待费。</w:t>
      </w:r>
    </w:p>
    <w:p>
      <w:pPr>
        <w:adjustRightInd/>
        <w:spacing w:line="680" w:lineRule="exact"/>
        <w:ind w:firstLine="0" w:firstLineChars="0"/>
        <w:textAlignment w:val="auto"/>
        <w:rPr>
          <w:rFonts w:hint="eastAsia" w:ascii="宋体" w:hAnsi="宋体" w:eastAsia="宋体" w:cs="宋体"/>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ascii="&amp;quot" w:hAnsi="&amp;quot" w:eastAsia="&amp;quot" w:cs="&amp;quot"/>
          <w:i w:val="0"/>
          <w:caps w:val="0"/>
          <w:color w:val="2A2A2A"/>
          <w:spacing w:val="0"/>
          <w:sz w:val="25"/>
          <w:szCs w:val="25"/>
          <w:u w:val="none"/>
        </w:rPr>
      </w:pPr>
      <w:r>
        <w:rPr>
          <w:rFonts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1.部门综合预算收支总表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2.部门综合预算收入总表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3.部门综合预算支出总表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4.部门综合预算财政拨款收支总表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5.部门综合预算一般公共预算支出明细表（按功能科目分）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6.部门综合预算一般公共预算支出明细表（按经济分类科目分）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7.部门综合预算一般公共预算基本支出明细表（按功能科目分）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8.部门综合预一般公共预算基本支出明细表（按经济分类分）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9.部门综合预算政府性基金收支表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10.部门综合预算政府采购（资产配置、购买服务）预算表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11.部门综合预算专项业务支出明细表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0" w:right="0" w:firstLine="0"/>
        <w:jc w:val="both"/>
        <w:textAlignment w:val="baseline"/>
        <w:rPr>
          <w:rFonts w:hint="default" w:ascii="&amp;quot" w:hAnsi="&amp;quot" w:eastAsia="&amp;quot" w:cs="&amp;quot"/>
          <w:i w:val="0"/>
          <w:caps w:val="0"/>
          <w:color w:val="2A2A2A"/>
          <w:spacing w:val="0"/>
          <w:sz w:val="25"/>
          <w:szCs w:val="25"/>
          <w:u w:val="none"/>
        </w:rPr>
      </w:pPr>
      <w:r>
        <w:rPr>
          <w:rFonts w:hint="default" w:ascii="仿宋_GB2312" w:hAnsi="&amp;quot" w:eastAsia="仿宋_GB2312" w:cs="仿宋_GB2312"/>
          <w:b/>
          <w:i w:val="0"/>
          <w:caps w:val="0"/>
          <w:color w:val="2B2B2B"/>
          <w:spacing w:val="0"/>
          <w:kern w:val="0"/>
          <w:sz w:val="25"/>
          <w:szCs w:val="25"/>
          <w:u w:val="none"/>
          <w:bdr w:val="none" w:color="auto" w:sz="0" w:space="0"/>
          <w:vertAlign w:val="baseline"/>
          <w:lang w:val="en-US" w:eastAsia="zh-CN" w:bidi="ar"/>
        </w:rPr>
        <w:t>12.部门综合预算一般公共预算拨款“三公”、会议费、培训费表</w:t>
      </w:r>
    </w:p>
    <w:p>
      <w:pPr>
        <w:adjustRightInd/>
        <w:spacing w:line="680" w:lineRule="exact"/>
        <w:ind w:firstLine="0" w:firstLineChars="0"/>
        <w:textAlignment w:val="auto"/>
        <w:rPr>
          <w:rFonts w:hint="eastAsia" w:ascii="宋体" w:hAnsi="宋体" w:eastAsia="宋体" w:cs="宋体"/>
          <w:szCs w:val="32"/>
        </w:rPr>
      </w:pPr>
    </w:p>
    <w:p>
      <w:pPr>
        <w:adjustRightInd/>
        <w:spacing w:line="680" w:lineRule="exact"/>
        <w:ind w:firstLine="0" w:firstLineChars="0"/>
        <w:textAlignment w:val="auto"/>
        <w:rPr>
          <w:rFonts w:ascii="宋体" w:hAnsi="宋体" w:eastAsia="宋体" w:cs="宋体"/>
          <w:szCs w:val="32"/>
        </w:rPr>
      </w:pPr>
    </w:p>
    <w:p>
      <w:pPr>
        <w:pStyle w:val="7"/>
        <w:adjustRightInd/>
        <w:spacing w:line="680" w:lineRule="exact"/>
        <w:ind w:left="2364" w:firstLine="665"/>
        <w:jc w:val="center"/>
        <w:textAlignment w:val="auto"/>
        <w:rPr>
          <w:rFonts w:ascii="仿宋_GB2312" w:hAnsi="仿宋_GB2312" w:eastAsia="仿宋_GB2312" w:cs="仿宋_GB2312"/>
          <w:sz w:val="32"/>
          <w:szCs w:val="32"/>
        </w:rPr>
      </w:pPr>
      <w:r>
        <w:rPr>
          <w:rFonts w:hint="eastAsia"/>
          <w:w w:val="104"/>
          <w:sz w:val="32"/>
          <w:szCs w:val="32"/>
        </w:rPr>
        <w:t xml:space="preserve">     </w:t>
      </w:r>
      <w:r>
        <w:rPr>
          <w:rFonts w:hint="eastAsia" w:ascii="仿宋_GB2312" w:hAnsi="仿宋_GB2312" w:eastAsia="仿宋_GB2312" w:cs="仿宋_GB2312"/>
          <w:w w:val="104"/>
          <w:sz w:val="32"/>
          <w:szCs w:val="32"/>
        </w:rPr>
        <w:t xml:space="preserve">   米脂县</w:t>
      </w:r>
      <w:r>
        <w:rPr>
          <w:rFonts w:hint="eastAsia" w:ascii="仿宋_GB2312" w:hAnsi="仿宋_GB2312" w:eastAsia="仿宋_GB2312" w:cs="仿宋_GB2312"/>
          <w:w w:val="102"/>
          <w:sz w:val="32"/>
          <w:szCs w:val="32"/>
        </w:rPr>
        <w:t>银州街道办事处</w:t>
      </w:r>
    </w:p>
    <w:p>
      <w:pPr>
        <w:tabs>
          <w:tab w:val="left" w:pos="3587"/>
          <w:tab w:val="left" w:pos="4257"/>
        </w:tabs>
        <w:adjustRightInd/>
        <w:spacing w:line="680" w:lineRule="exact"/>
        <w:ind w:left="2306" w:firstLine="640"/>
        <w:jc w:val="center"/>
        <w:textAlignment w:val="auto"/>
        <w:rPr>
          <w:rFonts w:ascii="仿宋_GB2312" w:hAnsi="仿宋_GB2312" w:cs="仿宋_GB2312"/>
          <w:szCs w:val="32"/>
        </w:rPr>
      </w:pPr>
      <w:r>
        <w:rPr>
          <w:rFonts w:hint="eastAsia" w:ascii="仿宋_GB2312" w:hAnsi="仿宋_GB2312" w:cs="仿宋_GB2312"/>
          <w:szCs w:val="32"/>
        </w:rPr>
        <w:t xml:space="preserve">           2018年 2 月 14日</w:t>
      </w:r>
    </w:p>
    <w:p>
      <w:pPr>
        <w:tabs>
          <w:tab w:val="left" w:pos="9280"/>
          <w:tab w:val="left" w:pos="9760"/>
        </w:tabs>
        <w:spacing w:line="520" w:lineRule="exact"/>
        <w:ind w:right="1280" w:rightChars="400" w:firstLine="0" w:firstLineChars="0"/>
        <w:jc w:val="left"/>
      </w:pPr>
    </w:p>
    <w:p>
      <w:pPr>
        <w:tabs>
          <w:tab w:val="left" w:pos="9280"/>
          <w:tab w:val="left" w:pos="9760"/>
        </w:tabs>
        <w:spacing w:line="520" w:lineRule="exact"/>
        <w:ind w:right="1280" w:rightChars="40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0" w:left="1588" w:header="851" w:footer="1134" w:gutter="0"/>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firstLine="560"/>
      <w:rPr>
        <w:rStyle w:val="14"/>
        <w:sz w:val="28"/>
      </w:rPr>
    </w:pPr>
    <w:r>
      <w:rPr>
        <w:rStyle w:val="14"/>
        <w:rFonts w:hint="eastAsia"/>
        <w:sz w:val="28"/>
      </w:rPr>
      <w:t>　</w:t>
    </w:r>
  </w:p>
  <w:p>
    <w:pPr>
      <w:pStyle w:val="1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firstLine="360"/>
      <w:rPr>
        <w:rStyle w:val="14"/>
      </w:rPr>
    </w:pPr>
    <w:r>
      <w:rPr>
        <w:rStyle w:val="14"/>
      </w:rPr>
      <w:fldChar w:fldCharType="begin"/>
    </w:r>
    <w:r>
      <w:rPr>
        <w:rStyle w:val="14"/>
      </w:rPr>
      <w:instrText xml:space="preserve">PAGE  </w:instrText>
    </w:r>
    <w:r>
      <w:rPr>
        <w:rStyle w:val="14"/>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389"/>
    <w:multiLevelType w:val="singleLevel"/>
    <w:tmpl w:val="0B992389"/>
    <w:lvl w:ilvl="0" w:tentative="0">
      <w:start w:val="1"/>
      <w:numFmt w:val="decimal"/>
      <w:pStyle w:val="19"/>
      <w:lvlText w:val="%1、"/>
      <w:lvlJc w:val="left"/>
      <w:pPr>
        <w:tabs>
          <w:tab w:val="left" w:pos="1344"/>
        </w:tabs>
        <w:ind w:left="0" w:firstLine="624"/>
      </w:pPr>
      <w:rPr>
        <w:rFonts w:hint="default" w:ascii="Arial" w:hAnsi="Arial"/>
      </w:rPr>
    </w:lvl>
  </w:abstractNum>
  <w:abstractNum w:abstractNumId="1">
    <w:nsid w:val="0F113F38"/>
    <w:multiLevelType w:val="singleLevel"/>
    <w:tmpl w:val="0F113F38"/>
    <w:lvl w:ilvl="0" w:tentative="0">
      <w:start w:val="1"/>
      <w:numFmt w:val="chineseCountingThousand"/>
      <w:pStyle w:val="18"/>
      <w:lvlText w:val="(%1)"/>
      <w:lvlJc w:val="left"/>
      <w:pPr>
        <w:tabs>
          <w:tab w:val="left" w:pos="984"/>
        </w:tabs>
        <w:ind w:left="0" w:firstLine="624"/>
      </w:pPr>
      <w:rPr>
        <w:rFonts w:hint="eastAsia"/>
      </w:rPr>
    </w:lvl>
  </w:abstractNum>
  <w:abstractNum w:abstractNumId="2">
    <w:nsid w:val="32C023CD"/>
    <w:multiLevelType w:val="singleLevel"/>
    <w:tmpl w:val="32C023CD"/>
    <w:lvl w:ilvl="0" w:tentative="0">
      <w:start w:val="1"/>
      <w:numFmt w:val="chineseCountingThousand"/>
      <w:pStyle w:val="17"/>
      <w:lvlText w:val="%1、"/>
      <w:lvlJc w:val="left"/>
      <w:pPr>
        <w:tabs>
          <w:tab w:val="left" w:pos="1344"/>
        </w:tabs>
        <w:ind w:left="0" w:firstLine="624"/>
      </w:pPr>
      <w:rPr>
        <w:rFonts w:hint="eastAsia"/>
      </w:rPr>
    </w:lvl>
  </w:abstractNum>
  <w:abstractNum w:abstractNumId="3">
    <w:nsid w:val="798A6323"/>
    <w:multiLevelType w:val="multilevel"/>
    <w:tmpl w:val="798A6323"/>
    <w:lvl w:ilvl="0" w:tentative="0">
      <w:start w:val="1"/>
      <w:numFmt w:val="decimal"/>
      <w:pStyle w:val="20"/>
      <w:lvlText w:val="%1、"/>
      <w:lvlJc w:val="left"/>
      <w:pPr>
        <w:tabs>
          <w:tab w:val="left" w:pos="1344"/>
        </w:tabs>
        <w:ind w:left="0" w:firstLine="62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5"/>
  <w:drawingGridHorizontalSpacing w:val="160"/>
  <w:drawingGridVerticalSpacing w:val="435"/>
  <w:displayHorizontalDrawingGridEvery w:val="1"/>
  <w:displayVerticalDrawingGridEvery w:val="1"/>
  <w:noPunctuationKerning w:val="1"/>
  <w:characterSpacingControl w:val="doNotCompress"/>
  <w:noLineBreaksAfter w:lang="zh-CN" w:val="([{·‘“〈《「『【〔〖（．［｛￡￥"/>
  <w:noLineBreaksBefore w:lang="zh-CN" w:val="!%),.:;?]}¨·ˇˉ―‖’”…∶、。〃々〉》」』】〕〗！＂％＇），．：；？］｀｜｝～￠"/>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931F3"/>
    <w:rsid w:val="00012153"/>
    <w:rsid w:val="000145AB"/>
    <w:rsid w:val="0001477F"/>
    <w:rsid w:val="00024BA2"/>
    <w:rsid w:val="000326F1"/>
    <w:rsid w:val="00046512"/>
    <w:rsid w:val="00053FF0"/>
    <w:rsid w:val="000643A4"/>
    <w:rsid w:val="00064412"/>
    <w:rsid w:val="000646F4"/>
    <w:rsid w:val="000678B0"/>
    <w:rsid w:val="00070337"/>
    <w:rsid w:val="00076F30"/>
    <w:rsid w:val="000827F2"/>
    <w:rsid w:val="0008758C"/>
    <w:rsid w:val="000A5258"/>
    <w:rsid w:val="000A719D"/>
    <w:rsid w:val="000B0B1A"/>
    <w:rsid w:val="000B2561"/>
    <w:rsid w:val="000B69E5"/>
    <w:rsid w:val="000C6B9E"/>
    <w:rsid w:val="000D5352"/>
    <w:rsid w:val="000E2EDF"/>
    <w:rsid w:val="000F37BE"/>
    <w:rsid w:val="001021DC"/>
    <w:rsid w:val="00114759"/>
    <w:rsid w:val="0011766A"/>
    <w:rsid w:val="00134D6C"/>
    <w:rsid w:val="001401AD"/>
    <w:rsid w:val="001460D3"/>
    <w:rsid w:val="00146F12"/>
    <w:rsid w:val="00152798"/>
    <w:rsid w:val="00162456"/>
    <w:rsid w:val="0016794B"/>
    <w:rsid w:val="0017280E"/>
    <w:rsid w:val="00173A04"/>
    <w:rsid w:val="00191E80"/>
    <w:rsid w:val="0019339C"/>
    <w:rsid w:val="00197EF9"/>
    <w:rsid w:val="001A5608"/>
    <w:rsid w:val="001C7A13"/>
    <w:rsid w:val="001F03BE"/>
    <w:rsid w:val="001F0E5C"/>
    <w:rsid w:val="001F1E79"/>
    <w:rsid w:val="001F1FF0"/>
    <w:rsid w:val="001F2177"/>
    <w:rsid w:val="00207179"/>
    <w:rsid w:val="0021009E"/>
    <w:rsid w:val="00227038"/>
    <w:rsid w:val="0024141A"/>
    <w:rsid w:val="00255F18"/>
    <w:rsid w:val="002617DF"/>
    <w:rsid w:val="00270588"/>
    <w:rsid w:val="002900E4"/>
    <w:rsid w:val="0029022E"/>
    <w:rsid w:val="00291FE9"/>
    <w:rsid w:val="002A1EEF"/>
    <w:rsid w:val="002A4B20"/>
    <w:rsid w:val="002B125B"/>
    <w:rsid w:val="002B419B"/>
    <w:rsid w:val="002B5598"/>
    <w:rsid w:val="002D7964"/>
    <w:rsid w:val="002E1021"/>
    <w:rsid w:val="002E6C73"/>
    <w:rsid w:val="002F304A"/>
    <w:rsid w:val="00306398"/>
    <w:rsid w:val="00313F29"/>
    <w:rsid w:val="003377FF"/>
    <w:rsid w:val="00345340"/>
    <w:rsid w:val="00355841"/>
    <w:rsid w:val="003702DF"/>
    <w:rsid w:val="00374A0F"/>
    <w:rsid w:val="003830F0"/>
    <w:rsid w:val="003A2F5E"/>
    <w:rsid w:val="003B53A0"/>
    <w:rsid w:val="003B66CD"/>
    <w:rsid w:val="003B723B"/>
    <w:rsid w:val="003C4DBD"/>
    <w:rsid w:val="003D6AE9"/>
    <w:rsid w:val="003E694A"/>
    <w:rsid w:val="003F2EDE"/>
    <w:rsid w:val="003F3C0B"/>
    <w:rsid w:val="0041718E"/>
    <w:rsid w:val="004231D9"/>
    <w:rsid w:val="004466A9"/>
    <w:rsid w:val="0045486B"/>
    <w:rsid w:val="00463343"/>
    <w:rsid w:val="00471AF3"/>
    <w:rsid w:val="00472CF6"/>
    <w:rsid w:val="00486151"/>
    <w:rsid w:val="00497AED"/>
    <w:rsid w:val="004C4802"/>
    <w:rsid w:val="004D198A"/>
    <w:rsid w:val="004D4D3D"/>
    <w:rsid w:val="004E22E9"/>
    <w:rsid w:val="004E71C1"/>
    <w:rsid w:val="004E7D16"/>
    <w:rsid w:val="004F48A5"/>
    <w:rsid w:val="00505EF7"/>
    <w:rsid w:val="0051221D"/>
    <w:rsid w:val="00512A12"/>
    <w:rsid w:val="00542A49"/>
    <w:rsid w:val="00550CB6"/>
    <w:rsid w:val="00552C51"/>
    <w:rsid w:val="00554CC8"/>
    <w:rsid w:val="0055598A"/>
    <w:rsid w:val="00562993"/>
    <w:rsid w:val="00566D6D"/>
    <w:rsid w:val="00576770"/>
    <w:rsid w:val="00587AC8"/>
    <w:rsid w:val="005939BD"/>
    <w:rsid w:val="00597FF1"/>
    <w:rsid w:val="005A237F"/>
    <w:rsid w:val="005A6EC0"/>
    <w:rsid w:val="005B4064"/>
    <w:rsid w:val="005C61E5"/>
    <w:rsid w:val="005D6133"/>
    <w:rsid w:val="005E065E"/>
    <w:rsid w:val="005E5842"/>
    <w:rsid w:val="00613EFB"/>
    <w:rsid w:val="00624C01"/>
    <w:rsid w:val="00661C3D"/>
    <w:rsid w:val="00686D70"/>
    <w:rsid w:val="006C234C"/>
    <w:rsid w:val="006E01D6"/>
    <w:rsid w:val="006E3E69"/>
    <w:rsid w:val="00700E09"/>
    <w:rsid w:val="007236F5"/>
    <w:rsid w:val="00733987"/>
    <w:rsid w:val="00736348"/>
    <w:rsid w:val="00737A66"/>
    <w:rsid w:val="00746521"/>
    <w:rsid w:val="007623CB"/>
    <w:rsid w:val="00765830"/>
    <w:rsid w:val="00765FDD"/>
    <w:rsid w:val="00766FBC"/>
    <w:rsid w:val="00771D32"/>
    <w:rsid w:val="00777E72"/>
    <w:rsid w:val="00790A60"/>
    <w:rsid w:val="00796C03"/>
    <w:rsid w:val="007C4B79"/>
    <w:rsid w:val="007D1246"/>
    <w:rsid w:val="007D306B"/>
    <w:rsid w:val="007D4999"/>
    <w:rsid w:val="007E2FDE"/>
    <w:rsid w:val="007E467E"/>
    <w:rsid w:val="007F430A"/>
    <w:rsid w:val="007F6F2A"/>
    <w:rsid w:val="0080529A"/>
    <w:rsid w:val="008143B8"/>
    <w:rsid w:val="00821B10"/>
    <w:rsid w:val="0083663C"/>
    <w:rsid w:val="00841458"/>
    <w:rsid w:val="00851628"/>
    <w:rsid w:val="008520C6"/>
    <w:rsid w:val="0086134D"/>
    <w:rsid w:val="008B6DF6"/>
    <w:rsid w:val="008C0FC7"/>
    <w:rsid w:val="008C367E"/>
    <w:rsid w:val="008E331E"/>
    <w:rsid w:val="008E3810"/>
    <w:rsid w:val="008E6904"/>
    <w:rsid w:val="008F2129"/>
    <w:rsid w:val="009160E7"/>
    <w:rsid w:val="00925F70"/>
    <w:rsid w:val="00932260"/>
    <w:rsid w:val="00944175"/>
    <w:rsid w:val="00960C8B"/>
    <w:rsid w:val="00964779"/>
    <w:rsid w:val="00967EC0"/>
    <w:rsid w:val="00990CCA"/>
    <w:rsid w:val="009949EA"/>
    <w:rsid w:val="009C746D"/>
    <w:rsid w:val="009D0CC9"/>
    <w:rsid w:val="009E3147"/>
    <w:rsid w:val="009E6386"/>
    <w:rsid w:val="009F3D71"/>
    <w:rsid w:val="00A37F6F"/>
    <w:rsid w:val="00A52A7E"/>
    <w:rsid w:val="00A77E9B"/>
    <w:rsid w:val="00A85562"/>
    <w:rsid w:val="00A93830"/>
    <w:rsid w:val="00A943D7"/>
    <w:rsid w:val="00A94842"/>
    <w:rsid w:val="00AA4BE4"/>
    <w:rsid w:val="00AB20FD"/>
    <w:rsid w:val="00AC2052"/>
    <w:rsid w:val="00AC30EA"/>
    <w:rsid w:val="00AD007E"/>
    <w:rsid w:val="00AD3065"/>
    <w:rsid w:val="00AE7530"/>
    <w:rsid w:val="00B0094A"/>
    <w:rsid w:val="00B02770"/>
    <w:rsid w:val="00B07A7D"/>
    <w:rsid w:val="00B2503C"/>
    <w:rsid w:val="00B260A4"/>
    <w:rsid w:val="00B2706A"/>
    <w:rsid w:val="00B43BA6"/>
    <w:rsid w:val="00B73B60"/>
    <w:rsid w:val="00B76F5B"/>
    <w:rsid w:val="00B922DA"/>
    <w:rsid w:val="00B931F3"/>
    <w:rsid w:val="00BA0410"/>
    <w:rsid w:val="00BC0EFF"/>
    <w:rsid w:val="00BC1881"/>
    <w:rsid w:val="00BC271A"/>
    <w:rsid w:val="00BF1145"/>
    <w:rsid w:val="00BF6453"/>
    <w:rsid w:val="00C05243"/>
    <w:rsid w:val="00C07E5D"/>
    <w:rsid w:val="00C217A5"/>
    <w:rsid w:val="00C23B8A"/>
    <w:rsid w:val="00C35560"/>
    <w:rsid w:val="00C547D9"/>
    <w:rsid w:val="00C776C4"/>
    <w:rsid w:val="00CA0807"/>
    <w:rsid w:val="00CA0A60"/>
    <w:rsid w:val="00CA5DF9"/>
    <w:rsid w:val="00CA6B67"/>
    <w:rsid w:val="00CC043A"/>
    <w:rsid w:val="00CC4D7A"/>
    <w:rsid w:val="00CD1A85"/>
    <w:rsid w:val="00CE5917"/>
    <w:rsid w:val="00D2044E"/>
    <w:rsid w:val="00D2242F"/>
    <w:rsid w:val="00D37357"/>
    <w:rsid w:val="00D977EA"/>
    <w:rsid w:val="00DA296E"/>
    <w:rsid w:val="00DD0ABC"/>
    <w:rsid w:val="00DF2162"/>
    <w:rsid w:val="00DF7607"/>
    <w:rsid w:val="00E07EFF"/>
    <w:rsid w:val="00E12C89"/>
    <w:rsid w:val="00E17A7F"/>
    <w:rsid w:val="00E21F1F"/>
    <w:rsid w:val="00E44A44"/>
    <w:rsid w:val="00E73EF9"/>
    <w:rsid w:val="00E86D91"/>
    <w:rsid w:val="00E86FDB"/>
    <w:rsid w:val="00E87CAB"/>
    <w:rsid w:val="00EA155B"/>
    <w:rsid w:val="00EE6122"/>
    <w:rsid w:val="00EE7ACE"/>
    <w:rsid w:val="00EF47FE"/>
    <w:rsid w:val="00EF7F80"/>
    <w:rsid w:val="00F3168F"/>
    <w:rsid w:val="00F562A1"/>
    <w:rsid w:val="00F64029"/>
    <w:rsid w:val="00F913E3"/>
    <w:rsid w:val="00FD0FFA"/>
    <w:rsid w:val="00FD4B0C"/>
    <w:rsid w:val="066B5574"/>
    <w:rsid w:val="125074BC"/>
    <w:rsid w:val="1C602B56"/>
    <w:rsid w:val="21DB43D1"/>
    <w:rsid w:val="22E700B9"/>
    <w:rsid w:val="26F04F24"/>
    <w:rsid w:val="2AB436C1"/>
    <w:rsid w:val="334615A4"/>
    <w:rsid w:val="37EA2457"/>
    <w:rsid w:val="3ABC1B1A"/>
    <w:rsid w:val="3F10062D"/>
    <w:rsid w:val="3F6715B2"/>
    <w:rsid w:val="3FA728E1"/>
    <w:rsid w:val="4078698B"/>
    <w:rsid w:val="41346B80"/>
    <w:rsid w:val="42642199"/>
    <w:rsid w:val="43D44921"/>
    <w:rsid w:val="43FB127B"/>
    <w:rsid w:val="46FC63A9"/>
    <w:rsid w:val="4B374526"/>
    <w:rsid w:val="4BBD03B5"/>
    <w:rsid w:val="4CB93EB8"/>
    <w:rsid w:val="4E1A376A"/>
    <w:rsid w:val="524F53FA"/>
    <w:rsid w:val="53D16EBA"/>
    <w:rsid w:val="53D424BA"/>
    <w:rsid w:val="5B27487C"/>
    <w:rsid w:val="640309CA"/>
    <w:rsid w:val="67D47E76"/>
    <w:rsid w:val="67E13B29"/>
    <w:rsid w:val="6C12142F"/>
    <w:rsid w:val="6E482F82"/>
    <w:rsid w:val="70CF05E0"/>
    <w:rsid w:val="79C30617"/>
    <w:rsid w:val="7B7E5167"/>
    <w:rsid w:val="7CEC5760"/>
    <w:rsid w:val="7D26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jc w:val="both"/>
      <w:textAlignment w:val="baseline"/>
    </w:pPr>
    <w:rPr>
      <w:rFonts w:ascii="Times New Roman" w:hAnsi="Times New Roman" w:eastAsia="仿宋_GB2312" w:cs="Times New Roman"/>
      <w:sz w:val="32"/>
      <w:lang w:val="en-US" w:eastAsia="zh-CN" w:bidi="ar-SA"/>
    </w:rPr>
  </w:style>
  <w:style w:type="paragraph" w:styleId="2">
    <w:name w:val="heading 1"/>
    <w:basedOn w:val="1"/>
    <w:next w:val="1"/>
    <w:qFormat/>
    <w:uiPriority w:val="0"/>
    <w:pPr>
      <w:keepNext/>
      <w:keepLines/>
      <w:spacing w:beforeLines="100" w:afterLines="50"/>
      <w:ind w:firstLine="0" w:firstLineChars="0"/>
      <w:jc w:val="center"/>
      <w:outlineLvl w:val="0"/>
    </w:pPr>
    <w:rPr>
      <w:rFonts w:eastAsia="文鼎大标宋简"/>
      <w:kern w:val="44"/>
      <w:sz w:val="40"/>
    </w:rPr>
  </w:style>
  <w:style w:type="paragraph" w:styleId="3">
    <w:name w:val="heading 2"/>
    <w:basedOn w:val="1"/>
    <w:next w:val="1"/>
    <w:qFormat/>
    <w:uiPriority w:val="0"/>
    <w:pPr>
      <w:keepNext/>
      <w:keepLines/>
      <w:spacing w:beforeLines="100" w:afterLines="50"/>
      <w:ind w:firstLine="0" w:firstLineChars="0"/>
      <w:jc w:val="center"/>
      <w:outlineLvl w:val="1"/>
    </w:pPr>
    <w:rPr>
      <w:rFonts w:eastAsia="文鼎大标宋简"/>
      <w:sz w:val="36"/>
    </w:rPr>
  </w:style>
  <w:style w:type="paragraph" w:styleId="4">
    <w:name w:val="heading 3"/>
    <w:basedOn w:val="1"/>
    <w:next w:val="1"/>
    <w:qFormat/>
    <w:uiPriority w:val="0"/>
    <w:pPr>
      <w:keepNext/>
      <w:keepLines/>
      <w:spacing w:beforeLines="100" w:afterLines="50"/>
      <w:ind w:firstLine="0" w:firstLineChars="0"/>
      <w:jc w:val="center"/>
      <w:outlineLvl w:val="2"/>
    </w:pPr>
    <w:rPr>
      <w:rFonts w:eastAsia="黑体"/>
    </w:rPr>
  </w:style>
  <w:style w:type="paragraph" w:styleId="5">
    <w:name w:val="heading 4"/>
    <w:basedOn w:val="1"/>
    <w:next w:val="1"/>
    <w:qFormat/>
    <w:uiPriority w:val="0"/>
    <w:pPr>
      <w:keepNext/>
      <w:keepLines/>
      <w:spacing w:beforeLines="100" w:afterLines="50"/>
      <w:ind w:firstLine="0" w:firstLineChars="0"/>
      <w:jc w:val="center"/>
      <w:outlineLvl w:val="3"/>
    </w:pPr>
    <w:rPr>
      <w:rFonts w:eastAsia="黑体"/>
      <w:sz w:val="28"/>
    </w:rPr>
  </w:style>
  <w:style w:type="paragraph" w:styleId="6">
    <w:name w:val="heading 5"/>
    <w:basedOn w:val="1"/>
    <w:next w:val="1"/>
    <w:qFormat/>
    <w:uiPriority w:val="0"/>
    <w:pPr>
      <w:keepNext/>
      <w:keepLines/>
      <w:spacing w:beforeLines="100" w:afterLines="50"/>
      <w:ind w:firstLine="0" w:firstLineChars="0"/>
      <w:jc w:val="center"/>
      <w:outlineLvl w:val="4"/>
    </w:pPr>
    <w:rPr>
      <w:rFonts w:eastAsia="黑体"/>
      <w:sz w:val="24"/>
    </w:rPr>
  </w:style>
  <w:style w:type="character" w:default="1" w:styleId="13">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qFormat/>
    <w:uiPriority w:val="0"/>
    <w:pPr>
      <w:ind w:left="127"/>
    </w:pPr>
    <w:rPr>
      <w:rFonts w:ascii="宋体" w:hAnsi="宋体" w:eastAsia="宋体"/>
      <w:sz w:val="30"/>
      <w:szCs w:val="30"/>
    </w:rPr>
  </w:style>
  <w:style w:type="paragraph" w:styleId="8">
    <w:name w:val="Body Text Indent"/>
    <w:basedOn w:val="1"/>
    <w:qFormat/>
    <w:uiPriority w:val="0"/>
    <w:pPr>
      <w:ind w:firstLine="640"/>
    </w:pPr>
  </w:style>
  <w:style w:type="paragraph" w:styleId="9">
    <w:name w:val="Date"/>
    <w:basedOn w:val="1"/>
    <w:next w:val="1"/>
    <w:qFormat/>
    <w:uiPriority w:val="0"/>
    <w:pPr>
      <w:adjustRightInd/>
      <w:ind w:firstLine="0" w:firstLineChars="0"/>
      <w:textAlignment w:val="auto"/>
    </w:pPr>
    <w:rPr>
      <w:rFonts w:ascii="楷体_GB2312" w:eastAsia="楷体_GB2312"/>
      <w:kern w:val="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table" w:styleId="16">
    <w:name w:val="Table Grid"/>
    <w:basedOn w:val="15"/>
    <w:qFormat/>
    <w:uiPriority w:val="0"/>
    <w:pPr>
      <w:widowControl w:val="0"/>
      <w:adjustRightInd w:val="0"/>
      <w:ind w:firstLine="200" w:firstLineChars="20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编号1"/>
    <w:basedOn w:val="1"/>
    <w:next w:val="1"/>
    <w:qFormat/>
    <w:uiPriority w:val="0"/>
    <w:pPr>
      <w:numPr>
        <w:ilvl w:val="0"/>
        <w:numId w:val="1"/>
      </w:numPr>
      <w:tabs>
        <w:tab w:val="left" w:pos="360"/>
        <w:tab w:val="left" w:pos="1280"/>
        <w:tab w:val="clear" w:pos="1344"/>
      </w:tabs>
      <w:spacing w:beforeLines="100" w:afterLines="50"/>
      <w:ind w:firstLine="0" w:firstLineChars="0"/>
      <w:outlineLvl w:val="1"/>
    </w:pPr>
    <w:rPr>
      <w:rFonts w:eastAsia="黑体"/>
    </w:rPr>
  </w:style>
  <w:style w:type="paragraph" w:customStyle="1" w:styleId="18">
    <w:name w:val="编号2"/>
    <w:basedOn w:val="1"/>
    <w:next w:val="1"/>
    <w:qFormat/>
    <w:uiPriority w:val="0"/>
    <w:pPr>
      <w:numPr>
        <w:ilvl w:val="0"/>
        <w:numId w:val="2"/>
      </w:numPr>
      <w:tabs>
        <w:tab w:val="left" w:pos="1280"/>
      </w:tabs>
      <w:spacing w:beforeLines="100" w:afterLines="50"/>
      <w:ind w:firstLine="0" w:firstLineChars="0"/>
      <w:outlineLvl w:val="2"/>
    </w:pPr>
    <w:rPr>
      <w:rFonts w:eastAsia="楷体_GB2312"/>
    </w:rPr>
  </w:style>
  <w:style w:type="paragraph" w:customStyle="1" w:styleId="19">
    <w:name w:val="编号3"/>
    <w:basedOn w:val="1"/>
    <w:next w:val="1"/>
    <w:qFormat/>
    <w:uiPriority w:val="0"/>
    <w:pPr>
      <w:numPr>
        <w:ilvl w:val="0"/>
        <w:numId w:val="3"/>
      </w:numPr>
      <w:tabs>
        <w:tab w:val="left" w:pos="1280"/>
      </w:tabs>
      <w:spacing w:beforeLines="100" w:afterLines="50"/>
      <w:ind w:firstLine="0" w:firstLineChars="0"/>
      <w:outlineLvl w:val="3"/>
    </w:pPr>
  </w:style>
  <w:style w:type="paragraph" w:customStyle="1" w:styleId="20">
    <w:name w:val="编号4"/>
    <w:basedOn w:val="1"/>
    <w:qFormat/>
    <w:uiPriority w:val="0"/>
    <w:pPr>
      <w:numPr>
        <w:ilvl w:val="0"/>
        <w:numId w:val="4"/>
      </w:numPr>
      <w:tabs>
        <w:tab w:val="left" w:pos="1120"/>
      </w:tabs>
      <w:ind w:firstLine="0" w:firstLineChars="0"/>
      <w:outlineLvl w:val="4"/>
    </w:pPr>
  </w:style>
  <w:style w:type="character" w:customStyle="1" w:styleId="21">
    <w:name w:val="apple-converted-space"/>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bbb</Company>
  <Pages>12</Pages>
  <Words>3380</Words>
  <Characters>1489</Characters>
  <Lines>12</Lines>
  <Paragraphs>9</Paragraphs>
  <TotalTime>0</TotalTime>
  <ScaleCrop>false</ScaleCrop>
  <LinksUpToDate>false</LinksUpToDate>
  <CharactersWithSpaces>4860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2017-11-21T01:22:00Z</dcterms:created>
  <dc:creator>aaa</dc:creator>
  <cp:lastModifiedBy>52962</cp:lastModifiedBy>
  <cp:lastPrinted>2018-02-14T03:06:00Z</cp:lastPrinted>
  <dcterms:modified xsi:type="dcterms:W3CDTF">2018-02-14T07:02:32Z</dcterms:modified>
  <dc:title>米财字〔2003〕　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